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EA8F6" w14:textId="77777777" w:rsidR="00DE5AF0" w:rsidRPr="00DE5AF0" w:rsidRDefault="00DE5AF0" w:rsidP="00DE5AF0">
      <w:pPr>
        <w:widowControl/>
        <w:shd w:val="clear" w:color="auto" w:fill="FFFFFF"/>
        <w:snapToGrid w:val="0"/>
        <w:spacing w:after="210" w:line="360" w:lineRule="auto"/>
        <w:jc w:val="left"/>
        <w:outlineLvl w:val="1"/>
        <w:rPr>
          <w:rFonts w:ascii="宋体" w:eastAsia="宋体" w:hAnsi="宋体" w:cs="宋体"/>
          <w:color w:val="333333"/>
          <w:spacing w:val="8"/>
          <w:kern w:val="0"/>
          <w:sz w:val="44"/>
          <w:szCs w:val="44"/>
        </w:rPr>
      </w:pPr>
      <w:r w:rsidRPr="00DE5AF0">
        <w:rPr>
          <w:rFonts w:ascii="宋体" w:eastAsia="宋体" w:hAnsi="宋体" w:cs="宋体" w:hint="eastAsia"/>
          <w:color w:val="333333"/>
          <w:spacing w:val="8"/>
          <w:kern w:val="0"/>
          <w:sz w:val="44"/>
          <w:szCs w:val="44"/>
        </w:rPr>
        <w:t>【石油观察家】国家管网公司成立背景下，我国LNG接收站如何公平开放？</w:t>
      </w:r>
    </w:p>
    <w:p w14:paraId="0694F971" w14:textId="77777777" w:rsidR="00DE5AF0" w:rsidRPr="00DE5AF0" w:rsidRDefault="00DE5AF0" w:rsidP="00DE5AF0">
      <w:pPr>
        <w:widowControl/>
        <w:shd w:val="clear" w:color="auto" w:fill="FFFFFF"/>
        <w:snapToGrid w:val="0"/>
        <w:spacing w:line="360" w:lineRule="auto"/>
        <w:jc w:val="left"/>
        <w:rPr>
          <w:rFonts w:ascii="宋体" w:eastAsia="宋体" w:hAnsi="宋体" w:cs="宋体" w:hint="eastAsia"/>
          <w:color w:val="333333"/>
          <w:spacing w:val="8"/>
          <w:kern w:val="0"/>
          <w:sz w:val="24"/>
          <w:szCs w:val="24"/>
        </w:rPr>
      </w:pPr>
      <w:r w:rsidRPr="00DE5AF0">
        <w:rPr>
          <w:rFonts w:ascii="宋体" w:eastAsia="宋体" w:hAnsi="宋体" w:cs="宋体" w:hint="eastAsia"/>
          <w:color w:val="333333"/>
          <w:spacing w:val="8"/>
          <w:kern w:val="0"/>
          <w:sz w:val="24"/>
          <w:szCs w:val="24"/>
        </w:rPr>
        <w:t>以下文章来源于上海石油天然气交易中心 ，作者LNG交易部</w:t>
      </w:r>
    </w:p>
    <w:p w14:paraId="205FF98F" w14:textId="0914A83C" w:rsidR="00DE5AF0" w:rsidRPr="00DE5AF0" w:rsidRDefault="00DE5AF0" w:rsidP="00DE5AF0">
      <w:pPr>
        <w:widowControl/>
        <w:shd w:val="clear" w:color="auto" w:fill="FFFFFF"/>
        <w:snapToGrid w:val="0"/>
        <w:spacing w:line="360" w:lineRule="auto"/>
        <w:ind w:firstLineChars="200" w:firstLine="512"/>
        <w:jc w:val="left"/>
        <w:rPr>
          <w:rFonts w:ascii="宋体" w:eastAsia="宋体" w:hAnsi="宋体"/>
          <w:color w:val="0080FF"/>
          <w:spacing w:val="8"/>
          <w:sz w:val="24"/>
          <w:szCs w:val="24"/>
          <w:shd w:val="clear" w:color="auto" w:fill="FFFFFF"/>
        </w:rPr>
      </w:pPr>
      <w:bookmarkStart w:id="0" w:name="_GoBack"/>
      <w:r w:rsidRPr="00DE5AF0">
        <w:rPr>
          <w:rFonts w:ascii="宋体" w:eastAsia="宋体" w:hAnsi="宋体" w:hint="eastAsia"/>
          <w:color w:val="0080FF"/>
          <w:spacing w:val="8"/>
          <w:sz w:val="24"/>
          <w:szCs w:val="24"/>
          <w:shd w:val="clear" w:color="auto" w:fill="FFFFFF"/>
        </w:rPr>
        <w:t>作为基础设施的重要组成部分和海上进口通道，LNG接收站的公平开放对促进上游主体多元化具有重要推动作用。上海石油天然气交易中心LNG交易部通过对我国接收站开放政策和历程的回顾，参照国外向市场化过渡阶段接收站开放的影响，同时结合我国接收站建设和天然气消费前景，对国家管网公司成立背景下LNG接收站如何实施公平开放做了一些思考。</w:t>
      </w:r>
    </w:p>
    <w:p w14:paraId="7F9F7B63" w14:textId="77777777" w:rsidR="00DE5AF0" w:rsidRPr="00DE5AF0" w:rsidRDefault="00DE5AF0" w:rsidP="00DE5AF0">
      <w:pPr>
        <w:pStyle w:val="a6"/>
        <w:shd w:val="clear" w:color="auto" w:fill="FFFFFF"/>
        <w:snapToGrid w:val="0"/>
        <w:spacing w:before="0" w:beforeAutospacing="0" w:after="0" w:afterAutospacing="0" w:line="360" w:lineRule="auto"/>
        <w:ind w:left="120" w:right="120" w:firstLineChars="200" w:firstLine="512"/>
        <w:jc w:val="both"/>
        <w:rPr>
          <w:color w:val="333333"/>
          <w:spacing w:val="8"/>
        </w:rPr>
      </w:pPr>
      <w:r w:rsidRPr="00DE5AF0">
        <w:rPr>
          <w:rFonts w:hint="eastAsia"/>
          <w:color w:val="333333"/>
          <w:spacing w:val="8"/>
        </w:rPr>
        <w:t>国家石油天然气管网集团有限公司（简称国家管网公司）于2019年12月9日在北京正式成立，标志着深化油气体制改革迈出关键一步，对于提高油气资源配置效率，促进油气行业高质量发展，保障国家能源安全，意义重大、影响深远。作为基础设施的重要组成部分和海上进口通道，LNG接收站的公平开放对促进上游主体多元化具有重要推动作用。本文基于管网公司成立向完全市场化过渡阶段可能存在的一些问题进行探讨。</w:t>
      </w:r>
      <w:bookmarkEnd w:id="0"/>
    </w:p>
    <w:p w14:paraId="244D7C7A"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center"/>
        <w:rPr>
          <w:rFonts w:hint="eastAsia"/>
          <w:color w:val="333333"/>
          <w:spacing w:val="8"/>
        </w:rPr>
      </w:pPr>
      <w:r w:rsidRPr="00DE5AF0">
        <w:rPr>
          <w:rStyle w:val="a5"/>
          <w:rFonts w:hint="eastAsia"/>
          <w:color w:val="C00000"/>
          <w:spacing w:val="8"/>
        </w:rPr>
        <w:t>一、我国LNG接收站开放历程</w:t>
      </w:r>
    </w:p>
    <w:p w14:paraId="4BAD235F"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Fonts w:hint="eastAsia"/>
          <w:color w:val="333333"/>
          <w:spacing w:val="8"/>
        </w:rPr>
        <w:t>当前，进口LNG在我国天然气市场扮演日益重要的角色，如何合理布局LNG接收站，充分发挥现有LNG接收站的使用效率，服务我国天然气产供储销体系建设，是一项重要课题。</w:t>
      </w:r>
    </w:p>
    <w:p w14:paraId="4C32BF30"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Style w:val="a5"/>
          <w:rFonts w:hint="eastAsia"/>
          <w:color w:val="333333"/>
          <w:spacing w:val="8"/>
        </w:rPr>
        <w:t>1、我国近年来油气基础设施公平开放政策</w:t>
      </w:r>
    </w:p>
    <w:p w14:paraId="51DD7FCF"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Fonts w:hint="eastAsia"/>
          <w:color w:val="333333"/>
          <w:spacing w:val="8"/>
        </w:rPr>
        <w:t>近年来，为了促进基础设施向第三方公平开放，国家主管部门陆续出台系列政策，指导油气运营企业逐步向第三方开放，相关政策见下表。</w:t>
      </w:r>
    </w:p>
    <w:p w14:paraId="7886B2AD" w14:textId="0A7C625C" w:rsidR="00DE5AF0" w:rsidRPr="00DE5AF0" w:rsidRDefault="00DE5AF0" w:rsidP="00DE5AF0">
      <w:pPr>
        <w:widowControl/>
        <w:shd w:val="clear" w:color="auto" w:fill="FFFFFF"/>
        <w:snapToGrid w:val="0"/>
        <w:spacing w:line="360" w:lineRule="auto"/>
        <w:jc w:val="left"/>
        <w:rPr>
          <w:rFonts w:ascii="宋体" w:eastAsia="宋体" w:hAnsi="宋体" w:cs="宋体"/>
          <w:color w:val="333333"/>
          <w:spacing w:val="8"/>
          <w:kern w:val="0"/>
          <w:sz w:val="24"/>
          <w:szCs w:val="24"/>
        </w:rPr>
      </w:pPr>
      <w:r w:rsidRPr="00DE5AF0">
        <w:rPr>
          <w:rFonts w:ascii="宋体" w:eastAsia="宋体" w:hAnsi="宋体"/>
          <w:noProof/>
          <w:sz w:val="24"/>
          <w:szCs w:val="24"/>
        </w:rPr>
        <w:lastRenderedPageBreak/>
        <w:drawing>
          <wp:inline distT="0" distB="0" distL="0" distR="0" wp14:anchorId="1736865B" wp14:editId="28240FBC">
            <wp:extent cx="5274310" cy="34861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486150"/>
                    </a:xfrm>
                    <a:prstGeom prst="rect">
                      <a:avLst/>
                    </a:prstGeom>
                  </pic:spPr>
                </pic:pic>
              </a:graphicData>
            </a:graphic>
          </wp:inline>
        </w:drawing>
      </w:r>
    </w:p>
    <w:p w14:paraId="7D08B791"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color w:val="333333"/>
          <w:spacing w:val="8"/>
        </w:rPr>
      </w:pPr>
      <w:r w:rsidRPr="00DE5AF0">
        <w:rPr>
          <w:rStyle w:val="a5"/>
          <w:rFonts w:hint="eastAsia"/>
          <w:color w:val="333333"/>
          <w:spacing w:val="8"/>
        </w:rPr>
        <w:t>2、我国LNG接收站向第三方开放历程</w:t>
      </w:r>
    </w:p>
    <w:p w14:paraId="5277326E"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Fonts w:hint="eastAsia"/>
          <w:color w:val="333333"/>
          <w:spacing w:val="8"/>
        </w:rPr>
        <w:t>2014年8月起，中石油率先通过线下商谈形式向合作伙伴开放了一些接收站窗口期，开展了基础设施向第三方开放尝试，据不完全统计，接收站拥有方陆续开展了以下第三方开放业务：</w:t>
      </w:r>
    </w:p>
    <w:p w14:paraId="3652B5F3"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color w:val="333333"/>
          <w:spacing w:val="8"/>
        </w:rPr>
      </w:pPr>
      <w:r w:rsidRPr="00DE5AF0">
        <w:rPr>
          <w:noProof/>
        </w:rPr>
        <w:drawing>
          <wp:inline distT="0" distB="0" distL="0" distR="0" wp14:anchorId="4BEEA914" wp14:editId="33FFB43B">
            <wp:extent cx="5274310" cy="234061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340610"/>
                    </a:xfrm>
                    <a:prstGeom prst="rect">
                      <a:avLst/>
                    </a:prstGeom>
                  </pic:spPr>
                </pic:pic>
              </a:graphicData>
            </a:graphic>
          </wp:inline>
        </w:drawing>
      </w:r>
      <w:r w:rsidRPr="00DE5AF0">
        <w:rPr>
          <w:rFonts w:hint="eastAsia"/>
          <w:color w:val="333333"/>
          <w:spacing w:val="8"/>
        </w:rPr>
        <w:t>但鉴于2016年受市场需求和油价影响，出现了进口LNG反替代管道气现象，影响了长协资源的消纳，接收站向第三方开放暂告一段落。除以上业务之外，接收站拥有方为冬季保供或资源调整还开展了定向开放或资源互换，保障了特殊环境下的天然气供应。</w:t>
      </w:r>
    </w:p>
    <w:p w14:paraId="1E1AF72F"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Fonts w:hint="eastAsia"/>
          <w:color w:val="333333"/>
          <w:spacing w:val="8"/>
        </w:rPr>
        <w:lastRenderedPageBreak/>
        <w:t>为了将接收站开放模式推向市场化，2018年9月20日起，中海油联合上海石油天然气交易中心发挥第三方平台公开、公平、透明的作用，分别推出了LNG窗口期一站通单个产品、短期协议和长期协议，开启了国内接收站开放的新模式，详见下表：</w:t>
      </w:r>
    </w:p>
    <w:p w14:paraId="60D62CB3" w14:textId="7F1DBC44" w:rsidR="00DE5AF0" w:rsidRPr="00DE5AF0" w:rsidRDefault="00DE5AF0" w:rsidP="00DE5AF0">
      <w:pPr>
        <w:widowControl/>
        <w:shd w:val="clear" w:color="auto" w:fill="FFFFFF"/>
        <w:snapToGrid w:val="0"/>
        <w:spacing w:line="360" w:lineRule="auto"/>
        <w:jc w:val="left"/>
        <w:rPr>
          <w:rFonts w:ascii="宋体" w:eastAsia="宋体" w:hAnsi="宋体" w:cs="宋体"/>
          <w:color w:val="333333"/>
          <w:spacing w:val="8"/>
          <w:kern w:val="0"/>
          <w:sz w:val="24"/>
          <w:szCs w:val="24"/>
        </w:rPr>
      </w:pPr>
      <w:r w:rsidRPr="00DE5AF0">
        <w:rPr>
          <w:rFonts w:ascii="宋体" w:eastAsia="宋体" w:hAnsi="宋体"/>
          <w:noProof/>
          <w:sz w:val="24"/>
          <w:szCs w:val="24"/>
        </w:rPr>
        <w:drawing>
          <wp:inline distT="0" distB="0" distL="0" distR="0" wp14:anchorId="5C1812DE" wp14:editId="79A1AC7E">
            <wp:extent cx="5274310" cy="29629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962910"/>
                    </a:xfrm>
                    <a:prstGeom prst="rect">
                      <a:avLst/>
                    </a:prstGeom>
                  </pic:spPr>
                </pic:pic>
              </a:graphicData>
            </a:graphic>
          </wp:inline>
        </w:drawing>
      </w:r>
    </w:p>
    <w:p w14:paraId="317FBA1B" w14:textId="77777777" w:rsidR="00DE5AF0" w:rsidRPr="00DE5AF0" w:rsidRDefault="00DE5AF0" w:rsidP="00DE5AF0">
      <w:pPr>
        <w:widowControl/>
        <w:snapToGrid w:val="0"/>
        <w:spacing w:line="360" w:lineRule="auto"/>
        <w:jc w:val="left"/>
        <w:rPr>
          <w:rFonts w:ascii="宋体" w:eastAsia="宋体" w:hAnsi="宋体" w:cs="宋体"/>
          <w:kern w:val="0"/>
          <w:sz w:val="24"/>
          <w:szCs w:val="24"/>
        </w:rPr>
      </w:pPr>
      <w:r w:rsidRPr="00DE5AF0">
        <w:rPr>
          <w:rFonts w:ascii="宋体" w:eastAsia="宋体" w:hAnsi="宋体" w:cs="宋体"/>
          <w:b/>
          <w:bCs/>
          <w:color w:val="C00000"/>
          <w:kern w:val="0"/>
          <w:sz w:val="24"/>
          <w:szCs w:val="24"/>
        </w:rPr>
        <w:t>二、国外LNG接收站向第三方开放情况</w:t>
      </w:r>
      <w:r w:rsidRPr="00DE5AF0">
        <w:rPr>
          <w:rFonts w:ascii="宋体" w:eastAsia="宋体" w:hAnsi="宋体" w:cs="宋体"/>
          <w:kern w:val="0"/>
          <w:sz w:val="24"/>
          <w:szCs w:val="24"/>
        </w:rPr>
        <w:br/>
      </w:r>
    </w:p>
    <w:p w14:paraId="0C135B2E" w14:textId="77777777" w:rsidR="00DE5AF0" w:rsidRPr="00DE5AF0" w:rsidRDefault="00DE5AF0" w:rsidP="00DE5AF0">
      <w:pPr>
        <w:widowControl/>
        <w:shd w:val="clear" w:color="auto" w:fill="FFFFFF"/>
        <w:snapToGrid w:val="0"/>
        <w:spacing w:line="360" w:lineRule="auto"/>
        <w:ind w:left="120" w:right="120"/>
        <w:rPr>
          <w:rFonts w:ascii="宋体" w:eastAsia="宋体" w:hAnsi="宋体" w:cs="宋体"/>
          <w:color w:val="333333"/>
          <w:spacing w:val="8"/>
          <w:kern w:val="0"/>
          <w:sz w:val="24"/>
          <w:szCs w:val="24"/>
        </w:rPr>
      </w:pPr>
      <w:r w:rsidRPr="00DE5AF0">
        <w:rPr>
          <w:rFonts w:ascii="宋体" w:eastAsia="宋体" w:hAnsi="宋体" w:cs="宋体" w:hint="eastAsia"/>
          <w:b/>
          <w:bCs/>
          <w:color w:val="333333"/>
          <w:spacing w:val="8"/>
          <w:kern w:val="0"/>
          <w:sz w:val="24"/>
          <w:szCs w:val="24"/>
        </w:rPr>
        <w:t>1、国外LNG接收站利用率</w:t>
      </w:r>
    </w:p>
    <w:p w14:paraId="5D9D9E1E" w14:textId="77777777" w:rsidR="00DE5AF0" w:rsidRPr="00DE5AF0" w:rsidRDefault="00DE5AF0" w:rsidP="00DE5AF0">
      <w:pPr>
        <w:widowControl/>
        <w:shd w:val="clear" w:color="auto" w:fill="FFFFFF"/>
        <w:snapToGrid w:val="0"/>
        <w:spacing w:line="360" w:lineRule="auto"/>
        <w:ind w:left="120" w:right="120"/>
        <w:rPr>
          <w:rFonts w:ascii="宋体" w:eastAsia="宋体" w:hAnsi="宋体" w:cs="宋体" w:hint="eastAsia"/>
          <w:color w:val="333333"/>
          <w:spacing w:val="8"/>
          <w:kern w:val="0"/>
          <w:sz w:val="24"/>
          <w:szCs w:val="24"/>
        </w:rPr>
      </w:pPr>
      <w:r w:rsidRPr="00DE5AF0">
        <w:rPr>
          <w:rFonts w:ascii="宋体" w:eastAsia="宋体" w:hAnsi="宋体" w:cs="宋体" w:hint="eastAsia"/>
          <w:color w:val="333333"/>
          <w:spacing w:val="8"/>
          <w:kern w:val="0"/>
          <w:sz w:val="24"/>
          <w:szCs w:val="24"/>
        </w:rPr>
        <w:t>2018年，日本LNG接收站产能利用率约41%，韩国LNG接收站的利用率为32%，欧洲的LNG接收站利用率约30%。</w:t>
      </w:r>
    </w:p>
    <w:p w14:paraId="02C7DDC3" w14:textId="77777777" w:rsidR="00DE5AF0" w:rsidRPr="00DE5AF0" w:rsidRDefault="00DE5AF0" w:rsidP="00DE5AF0">
      <w:pPr>
        <w:widowControl/>
        <w:shd w:val="clear" w:color="auto" w:fill="FFFFFF"/>
        <w:snapToGrid w:val="0"/>
        <w:spacing w:line="360" w:lineRule="auto"/>
        <w:ind w:left="120" w:right="120"/>
        <w:rPr>
          <w:rFonts w:ascii="宋体" w:eastAsia="宋体" w:hAnsi="宋体" w:cs="宋体" w:hint="eastAsia"/>
          <w:color w:val="333333"/>
          <w:spacing w:val="8"/>
          <w:kern w:val="0"/>
          <w:sz w:val="24"/>
          <w:szCs w:val="24"/>
        </w:rPr>
      </w:pPr>
      <w:r w:rsidRPr="00DE5AF0">
        <w:rPr>
          <w:rFonts w:ascii="宋体" w:eastAsia="宋体" w:hAnsi="宋体" w:cs="宋体" w:hint="eastAsia"/>
          <w:b/>
          <w:bCs/>
          <w:color w:val="333333"/>
          <w:spacing w:val="8"/>
          <w:kern w:val="0"/>
          <w:sz w:val="24"/>
          <w:szCs w:val="24"/>
        </w:rPr>
        <w:t>2、欧盟LNG接收站开放情况</w:t>
      </w:r>
    </w:p>
    <w:p w14:paraId="489334CA" w14:textId="77777777" w:rsidR="00DE5AF0" w:rsidRPr="00DE5AF0" w:rsidRDefault="00DE5AF0" w:rsidP="00DE5AF0">
      <w:pPr>
        <w:widowControl/>
        <w:shd w:val="clear" w:color="auto" w:fill="FFFFFF"/>
        <w:snapToGrid w:val="0"/>
        <w:spacing w:line="360" w:lineRule="auto"/>
        <w:ind w:left="120" w:right="120"/>
        <w:rPr>
          <w:rFonts w:ascii="宋体" w:eastAsia="宋体" w:hAnsi="宋体" w:cs="宋体" w:hint="eastAsia"/>
          <w:color w:val="333333"/>
          <w:spacing w:val="8"/>
          <w:kern w:val="0"/>
          <w:sz w:val="24"/>
          <w:szCs w:val="24"/>
        </w:rPr>
      </w:pPr>
      <w:r w:rsidRPr="00DE5AF0">
        <w:rPr>
          <w:rFonts w:ascii="宋体" w:eastAsia="宋体" w:hAnsi="宋体" w:cs="宋体" w:hint="eastAsia"/>
          <w:color w:val="333333"/>
          <w:spacing w:val="8"/>
          <w:kern w:val="0"/>
          <w:sz w:val="24"/>
          <w:szCs w:val="24"/>
        </w:rPr>
        <w:t>2003年，欧盟颁发2003/55/EC号指令，要求拆分油气公司，独立长输管网、配气管网和接收站，在输气、配气和储气业务上推行第三方准入机制，但大型基础设施投资项目可豁免第三方准入义务。意大利、荷兰等国进展相对较快，意大利是欧洲第一个实施接收站开放的国家；德国、法国等欧洲大陆国家考虑供应安全问题，改革进程相对较慢；英国为鼓励接收站投资，给予国内所有接收站向第三方开放的豁免。</w:t>
      </w:r>
    </w:p>
    <w:p w14:paraId="525D1701" w14:textId="77777777" w:rsidR="00DE5AF0" w:rsidRPr="00DE5AF0" w:rsidRDefault="00DE5AF0" w:rsidP="00DE5AF0">
      <w:pPr>
        <w:widowControl/>
        <w:shd w:val="clear" w:color="auto" w:fill="FFFFFF"/>
        <w:snapToGrid w:val="0"/>
        <w:spacing w:line="360" w:lineRule="auto"/>
        <w:ind w:left="120" w:right="120"/>
        <w:rPr>
          <w:rFonts w:ascii="宋体" w:eastAsia="宋体" w:hAnsi="宋体" w:cs="宋体" w:hint="eastAsia"/>
          <w:color w:val="333333"/>
          <w:spacing w:val="8"/>
          <w:kern w:val="0"/>
          <w:sz w:val="24"/>
          <w:szCs w:val="24"/>
        </w:rPr>
      </w:pPr>
      <w:r w:rsidRPr="00DE5AF0">
        <w:rPr>
          <w:rFonts w:ascii="宋体" w:eastAsia="宋体" w:hAnsi="宋体" w:cs="宋体" w:hint="eastAsia"/>
          <w:color w:val="333333"/>
          <w:spacing w:val="8"/>
          <w:kern w:val="0"/>
          <w:sz w:val="24"/>
          <w:szCs w:val="24"/>
        </w:rPr>
        <w:t>意大利的一级市场通过公开市场出售，每年7月1日，使用者可以购买下一年或者几年（3-7年）的接收能力，同时由于用户每个月还可以在一定范围内对预订的年度接收能力进行调整，每个月还有月度接收能力在公开</w:t>
      </w:r>
      <w:r w:rsidRPr="00DE5AF0">
        <w:rPr>
          <w:rFonts w:ascii="宋体" w:eastAsia="宋体" w:hAnsi="宋体" w:cs="宋体" w:hint="eastAsia"/>
          <w:color w:val="333333"/>
          <w:spacing w:val="8"/>
          <w:kern w:val="0"/>
          <w:sz w:val="24"/>
          <w:szCs w:val="24"/>
        </w:rPr>
        <w:lastRenderedPageBreak/>
        <w:t>市场出售，用户需要在月底前4天确定下个月需要预定的容量以及下下个月需要交付的天然气容量。如果预定总量超过总接收能力，意大利监管机构还制定了优先级。</w:t>
      </w:r>
    </w:p>
    <w:p w14:paraId="5848683D" w14:textId="77777777" w:rsidR="00DE5AF0" w:rsidRPr="00DE5AF0" w:rsidRDefault="00DE5AF0" w:rsidP="00DE5AF0">
      <w:pPr>
        <w:widowControl/>
        <w:shd w:val="clear" w:color="auto" w:fill="FFFFFF"/>
        <w:snapToGrid w:val="0"/>
        <w:spacing w:line="360" w:lineRule="auto"/>
        <w:ind w:left="120" w:right="120"/>
        <w:rPr>
          <w:rFonts w:ascii="宋体" w:eastAsia="宋体" w:hAnsi="宋体" w:cs="宋体" w:hint="eastAsia"/>
          <w:color w:val="333333"/>
          <w:spacing w:val="8"/>
          <w:kern w:val="0"/>
          <w:sz w:val="24"/>
          <w:szCs w:val="24"/>
        </w:rPr>
      </w:pPr>
      <w:r w:rsidRPr="00DE5AF0">
        <w:rPr>
          <w:rFonts w:ascii="宋体" w:eastAsia="宋体" w:hAnsi="宋体" w:cs="宋体" w:hint="eastAsia"/>
          <w:color w:val="333333"/>
          <w:spacing w:val="8"/>
          <w:kern w:val="0"/>
          <w:sz w:val="24"/>
          <w:szCs w:val="24"/>
        </w:rPr>
        <w:t>英国的LNG接收能力通过一级市场和二级市场两种方式出售，在一级市场上，通过公开出售（Open Season）的方式与几家大用户签订长期合约，目前三座LNG接收站（Isle of Grain, Dragon LNG, South Hook）的接收能力由9家公司共同享有，包括BP、Centrica、法国的苏伊士、德国的Eon、马来西亚国家石油公司等。在二级市场上，一级用户有权利通过双边协议和公开拍卖的方式转售多余的库容，拍卖的时间为窗口期前最早14天、最晚7天，公开拍卖的信息通过一级用户网站或接收站的官方网站（以后者为主）上发布。由于二级市场的转售并没有完全强制，英国燃气与电力管制办公室（Ofgem）负责对一级用户转售LNG窗口期的监管，以确保闲置的接收能力都能提前在二级市场出售。</w:t>
      </w:r>
    </w:p>
    <w:p w14:paraId="6CD3D50F" w14:textId="77777777" w:rsidR="00DE5AF0" w:rsidRPr="00DE5AF0" w:rsidRDefault="00DE5AF0" w:rsidP="00DE5AF0">
      <w:pPr>
        <w:widowControl/>
        <w:shd w:val="clear" w:color="auto" w:fill="FFFFFF"/>
        <w:snapToGrid w:val="0"/>
        <w:spacing w:line="360" w:lineRule="auto"/>
        <w:ind w:left="120" w:right="120"/>
        <w:rPr>
          <w:rFonts w:ascii="宋体" w:eastAsia="宋体" w:hAnsi="宋体" w:cs="宋体" w:hint="eastAsia"/>
          <w:color w:val="333333"/>
          <w:spacing w:val="8"/>
          <w:kern w:val="0"/>
          <w:sz w:val="24"/>
          <w:szCs w:val="24"/>
        </w:rPr>
      </w:pPr>
      <w:r w:rsidRPr="00DE5AF0">
        <w:rPr>
          <w:rFonts w:ascii="宋体" w:eastAsia="宋体" w:hAnsi="宋体" w:cs="宋体" w:hint="eastAsia"/>
          <w:color w:val="333333"/>
          <w:spacing w:val="8"/>
          <w:kern w:val="0"/>
          <w:sz w:val="24"/>
          <w:szCs w:val="24"/>
        </w:rPr>
        <w:t>西班牙的一级市场遵循先到先得（First Come First Serve FCFS）的原则，由于接收能力富裕，基本能满足所有预订者的需求，且在长期合约之外，还预留了至少25%的接收能力供短期贸易（小于两年）使用，由LNG接收站运行商统筹。</w:t>
      </w:r>
    </w:p>
    <w:p w14:paraId="15A185AE" w14:textId="77777777" w:rsidR="00DE5AF0" w:rsidRPr="00DE5AF0" w:rsidRDefault="00DE5AF0" w:rsidP="00DE5AF0">
      <w:pPr>
        <w:widowControl/>
        <w:shd w:val="clear" w:color="auto" w:fill="FFFFFF"/>
        <w:snapToGrid w:val="0"/>
        <w:spacing w:line="360" w:lineRule="auto"/>
        <w:ind w:left="120" w:right="120"/>
        <w:rPr>
          <w:rFonts w:ascii="宋体" w:eastAsia="宋体" w:hAnsi="宋体" w:cs="宋体" w:hint="eastAsia"/>
          <w:color w:val="333333"/>
          <w:spacing w:val="8"/>
          <w:kern w:val="0"/>
          <w:sz w:val="24"/>
          <w:szCs w:val="24"/>
        </w:rPr>
      </w:pPr>
      <w:r w:rsidRPr="00DE5AF0">
        <w:rPr>
          <w:rFonts w:ascii="宋体" w:eastAsia="宋体" w:hAnsi="宋体" w:cs="宋体" w:hint="eastAsia"/>
          <w:color w:val="333333"/>
          <w:spacing w:val="8"/>
          <w:kern w:val="0"/>
          <w:sz w:val="24"/>
          <w:szCs w:val="24"/>
        </w:rPr>
        <w:t>欧洲LNG接收站第三方准入的典型模式见下表：</w:t>
      </w:r>
    </w:p>
    <w:p w14:paraId="32CC721E" w14:textId="5A053FB8" w:rsidR="00DE5AF0" w:rsidRPr="00DE5AF0" w:rsidRDefault="00DE5AF0" w:rsidP="00DE5AF0">
      <w:pPr>
        <w:widowControl/>
        <w:shd w:val="clear" w:color="auto" w:fill="FFFFFF"/>
        <w:snapToGrid w:val="0"/>
        <w:spacing w:line="360" w:lineRule="auto"/>
        <w:jc w:val="left"/>
        <w:rPr>
          <w:rFonts w:ascii="宋体" w:eastAsia="宋体" w:hAnsi="宋体" w:cs="宋体"/>
          <w:color w:val="333333"/>
          <w:spacing w:val="8"/>
          <w:kern w:val="0"/>
          <w:sz w:val="24"/>
          <w:szCs w:val="24"/>
        </w:rPr>
      </w:pPr>
      <w:r w:rsidRPr="00DE5AF0">
        <w:rPr>
          <w:rFonts w:ascii="宋体" w:eastAsia="宋体" w:hAnsi="宋体"/>
          <w:noProof/>
          <w:sz w:val="24"/>
          <w:szCs w:val="24"/>
        </w:rPr>
        <w:drawing>
          <wp:inline distT="0" distB="0" distL="0" distR="0" wp14:anchorId="6A48C92D" wp14:editId="59EC51A6">
            <wp:extent cx="5274310" cy="27368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736850"/>
                    </a:xfrm>
                    <a:prstGeom prst="rect">
                      <a:avLst/>
                    </a:prstGeom>
                  </pic:spPr>
                </pic:pic>
              </a:graphicData>
            </a:graphic>
          </wp:inline>
        </w:drawing>
      </w:r>
    </w:p>
    <w:p w14:paraId="653AD0ED"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color w:val="333333"/>
          <w:spacing w:val="8"/>
        </w:rPr>
      </w:pPr>
      <w:r w:rsidRPr="00DE5AF0">
        <w:rPr>
          <w:rStyle w:val="a5"/>
          <w:rFonts w:hint="eastAsia"/>
          <w:color w:val="333333"/>
          <w:spacing w:val="8"/>
        </w:rPr>
        <w:t>3、欧洲LNG长协执行</w:t>
      </w:r>
    </w:p>
    <w:p w14:paraId="1C6E0158"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Fonts w:hint="eastAsia"/>
          <w:color w:val="333333"/>
          <w:spacing w:val="8"/>
        </w:rPr>
        <w:lastRenderedPageBreak/>
        <w:t>在欧盟推动天然气市场化改革进程中，既有的天然气市场秩序、市场结构都受到了巨大冲击。</w:t>
      </w:r>
    </w:p>
    <w:p w14:paraId="4336605D"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Fonts w:hint="eastAsia"/>
          <w:color w:val="333333"/>
          <w:spacing w:val="8"/>
        </w:rPr>
        <w:t>意大利政府2000年5月开始实施较激进的天然气市场改革，甚至允许家庭自主选择天然气供应商。在国内市场受挤占的情况下，埃尼公司无法执行上游照付不议长期合同，公司的主要对策为：一是与上游重谈合同，既包括价格重谈，也包括取消合同；二是压减合同量，2007年埃尼公司有424万吨LNG合同量，但实际只在意大利进口了172万吨；三是拓展国际市场，向国际销售过剩的LNG。</w:t>
      </w:r>
    </w:p>
    <w:p w14:paraId="181BAFFF"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Fonts w:hint="eastAsia"/>
          <w:color w:val="333333"/>
          <w:spacing w:val="8"/>
        </w:rPr>
        <w:t>英国政府对英国天然气公司、森特理克公司以及相关上游公司施压，要求他们重新谈判合同。英国天然气等公司一方面被迫将以前签署的与油价挂钩的合同价格改为与气价挂钩，另一方面被迫亏本低价出售天然气。森特理克公司动用储备了10年的应急资金，并利用在上游的参股地位对冲部分损失。</w:t>
      </w:r>
    </w:p>
    <w:p w14:paraId="793B85CD"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Fonts w:hint="eastAsia"/>
          <w:color w:val="333333"/>
          <w:spacing w:val="8"/>
        </w:rPr>
        <w:t>西班牙天然气公司对上游公司进行了部分赔偿，并以高于成本的价格将长期SPA合同转售出去，在一定程度上避免了亏损。</w:t>
      </w:r>
    </w:p>
    <w:p w14:paraId="7B890434"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Fonts w:hint="eastAsia"/>
          <w:color w:val="333333"/>
          <w:spacing w:val="8"/>
        </w:rPr>
        <w:t>2019年夏季（4至9月），欧洲天然气进口量同比增长8.2%，达到1917亿立方米，主要受LNG带动，这期间LNG再气化率同比增长117．5%，达到471.7亿立方米。其中，希腊53%的天然气供应来自LNG，而2018年这一比例仅为21%，截至10月底，希腊从保加利亚进口的管道天然气下降了44%。这一趋势表明，如果消费量增速不足，同时LNG价格更具优势，进口LNG规模扩大将很大程度上冲击管道气市场，将对管道气生产和进口企业巨大影响。</w:t>
      </w:r>
    </w:p>
    <w:p w14:paraId="52732D1C"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center"/>
        <w:rPr>
          <w:rFonts w:hint="eastAsia"/>
          <w:color w:val="333333"/>
          <w:spacing w:val="8"/>
        </w:rPr>
      </w:pPr>
      <w:r w:rsidRPr="00DE5AF0">
        <w:rPr>
          <w:rStyle w:val="a5"/>
          <w:rFonts w:hint="eastAsia"/>
          <w:color w:val="C00000"/>
          <w:spacing w:val="8"/>
        </w:rPr>
        <w:t>三、我国LNG接收站建设和利用率情况</w:t>
      </w:r>
    </w:p>
    <w:p w14:paraId="27966C81"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Style w:val="a5"/>
          <w:rFonts w:hint="eastAsia"/>
          <w:color w:val="333333"/>
          <w:spacing w:val="8"/>
        </w:rPr>
        <w:t>1、我国LNG接收站建设情况</w:t>
      </w:r>
    </w:p>
    <w:p w14:paraId="50CD68D4"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Fonts w:hint="eastAsia"/>
          <w:color w:val="333333"/>
          <w:spacing w:val="8"/>
        </w:rPr>
        <w:t>截至2019年12月，我国已投运LNG接收站22座，2019年投运的LNG接收能力为140万吨/年。详见下表：</w:t>
      </w:r>
    </w:p>
    <w:p w14:paraId="166A5DB2" w14:textId="523387AC" w:rsidR="00DE5AF0" w:rsidRPr="00DE5AF0" w:rsidRDefault="00DE5AF0" w:rsidP="00DE5AF0">
      <w:pPr>
        <w:widowControl/>
        <w:shd w:val="clear" w:color="auto" w:fill="FFFFFF"/>
        <w:snapToGrid w:val="0"/>
        <w:spacing w:line="360" w:lineRule="auto"/>
        <w:jc w:val="left"/>
        <w:rPr>
          <w:rFonts w:ascii="宋体" w:eastAsia="宋体" w:hAnsi="宋体" w:cs="宋体" w:hint="eastAsia"/>
          <w:color w:val="333333"/>
          <w:spacing w:val="8"/>
          <w:kern w:val="0"/>
          <w:sz w:val="24"/>
          <w:szCs w:val="24"/>
        </w:rPr>
      </w:pPr>
      <w:r w:rsidRPr="00DE5AF0">
        <w:rPr>
          <w:rFonts w:ascii="宋体" w:eastAsia="宋体" w:hAnsi="宋体"/>
          <w:noProof/>
          <w:sz w:val="24"/>
          <w:szCs w:val="24"/>
        </w:rPr>
        <w:lastRenderedPageBreak/>
        <w:drawing>
          <wp:inline distT="0" distB="0" distL="0" distR="0" wp14:anchorId="1DE8A3E8" wp14:editId="73E35464">
            <wp:extent cx="5274310" cy="71526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7152640"/>
                    </a:xfrm>
                    <a:prstGeom prst="rect">
                      <a:avLst/>
                    </a:prstGeom>
                  </pic:spPr>
                </pic:pic>
              </a:graphicData>
            </a:graphic>
          </wp:inline>
        </w:drawing>
      </w:r>
    </w:p>
    <w:p w14:paraId="4AC3B484" w14:textId="09325269" w:rsidR="00483EEE" w:rsidRPr="00DE5AF0" w:rsidRDefault="00DE5AF0" w:rsidP="00DE5AF0">
      <w:pPr>
        <w:snapToGrid w:val="0"/>
        <w:spacing w:line="360" w:lineRule="auto"/>
        <w:rPr>
          <w:rFonts w:ascii="宋体" w:eastAsia="宋体" w:hAnsi="宋体"/>
          <w:color w:val="333333"/>
          <w:spacing w:val="8"/>
          <w:sz w:val="24"/>
          <w:szCs w:val="24"/>
          <w:shd w:val="clear" w:color="auto" w:fill="FFFFFF"/>
        </w:rPr>
      </w:pPr>
      <w:r w:rsidRPr="00DE5AF0">
        <w:rPr>
          <w:rFonts w:ascii="宋体" w:eastAsia="宋体" w:hAnsi="宋体" w:hint="eastAsia"/>
          <w:color w:val="333333"/>
          <w:spacing w:val="8"/>
          <w:sz w:val="24"/>
          <w:szCs w:val="24"/>
          <w:shd w:val="clear" w:color="auto" w:fill="FFFFFF"/>
        </w:rPr>
        <w:t>从2006年广东大鹏LNG接收站投运以来，我国LNG接收能力逐年增加，目前仍有批量接收站在规划、审批和建设过程中，2020-2024年期间将有部分接收站陆续投产，但增幅不大；2025年投产规模增加，预计接收能力将增加至1.3亿吨/年，详见下图：</w:t>
      </w:r>
    </w:p>
    <w:p w14:paraId="6A904814" w14:textId="41F5D14B" w:rsidR="00DE5AF0" w:rsidRPr="00DE5AF0" w:rsidRDefault="00DE5AF0" w:rsidP="00DE5AF0">
      <w:pPr>
        <w:snapToGrid w:val="0"/>
        <w:spacing w:line="360" w:lineRule="auto"/>
        <w:rPr>
          <w:rFonts w:ascii="宋体" w:eastAsia="宋体" w:hAnsi="宋体"/>
          <w:sz w:val="24"/>
          <w:szCs w:val="24"/>
        </w:rPr>
      </w:pPr>
      <w:r w:rsidRPr="00DE5AF0">
        <w:rPr>
          <w:rFonts w:ascii="宋体" w:eastAsia="宋体" w:hAnsi="宋体"/>
          <w:noProof/>
          <w:sz w:val="24"/>
          <w:szCs w:val="24"/>
        </w:rPr>
        <w:lastRenderedPageBreak/>
        <w:drawing>
          <wp:inline distT="0" distB="0" distL="0" distR="0" wp14:anchorId="659AF43C" wp14:editId="10E87C50">
            <wp:extent cx="5274310" cy="35642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564255"/>
                    </a:xfrm>
                    <a:prstGeom prst="rect">
                      <a:avLst/>
                    </a:prstGeom>
                  </pic:spPr>
                </pic:pic>
              </a:graphicData>
            </a:graphic>
          </wp:inline>
        </w:drawing>
      </w:r>
    </w:p>
    <w:p w14:paraId="49BB77B8"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color w:val="333333"/>
          <w:spacing w:val="8"/>
        </w:rPr>
      </w:pPr>
      <w:r w:rsidRPr="00DE5AF0">
        <w:rPr>
          <w:rStyle w:val="a5"/>
          <w:rFonts w:hint="eastAsia"/>
          <w:color w:val="333333"/>
          <w:spacing w:val="8"/>
        </w:rPr>
        <w:t>2、我国LNG接收站利用率</w:t>
      </w:r>
    </w:p>
    <w:p w14:paraId="37ECB0D3" w14:textId="5745989A"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Fonts w:hint="eastAsia"/>
          <w:color w:val="333333"/>
          <w:spacing w:val="8"/>
        </w:rPr>
        <w:t>2018年我国各LNG接收站利用率如下图所示：</w:t>
      </w:r>
      <w:r w:rsidRPr="00DE5AF0">
        <w:rPr>
          <w:noProof/>
          <w:color w:val="333333"/>
          <w:spacing w:val="8"/>
        </w:rPr>
        <mc:AlternateContent>
          <mc:Choice Requires="wps">
            <w:drawing>
              <wp:inline distT="0" distB="0" distL="0" distR="0" wp14:anchorId="5C01BCF9" wp14:editId="5E074096">
                <wp:extent cx="304800" cy="304800"/>
                <wp:effectExtent l="0" t="0" r="0" b="0"/>
                <wp:docPr id="7" name="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7DC109" id="矩形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Rs/BD0AQAAwQMAAA4AAAAAAAAAAAAAAAAALgIAAGRycy9lMm9E&#10;b2MueG1sUEsBAi0AFAAGAAgAAAAhAEyg6SzYAAAAAwEAAA8AAAAAAAAAAAAAAAAATgQAAGRycy9k&#10;b3ducmV2LnhtbFBLBQYAAAAABAAEAPMAAABTBQAAAAA=&#10;" filled="f" stroked="f">
                <o:lock v:ext="edit" aspectratio="t"/>
                <w10:anchorlock/>
              </v:rect>
            </w:pict>
          </mc:Fallback>
        </mc:AlternateContent>
      </w:r>
    </w:p>
    <w:p w14:paraId="0E6B07FC" w14:textId="11D8078D" w:rsidR="00DE5AF0" w:rsidRPr="00DE5AF0" w:rsidRDefault="00DE5AF0" w:rsidP="00DE5AF0">
      <w:pPr>
        <w:snapToGrid w:val="0"/>
        <w:spacing w:line="360" w:lineRule="auto"/>
        <w:rPr>
          <w:rFonts w:ascii="宋体" w:eastAsia="宋体" w:hAnsi="宋体"/>
          <w:sz w:val="24"/>
          <w:szCs w:val="24"/>
        </w:rPr>
      </w:pPr>
      <w:r w:rsidRPr="00DE5AF0">
        <w:rPr>
          <w:rFonts w:ascii="宋体" w:eastAsia="宋体" w:hAnsi="宋体"/>
          <w:noProof/>
          <w:sz w:val="24"/>
          <w:szCs w:val="24"/>
        </w:rPr>
        <w:drawing>
          <wp:inline distT="0" distB="0" distL="0" distR="0" wp14:anchorId="2384A13A" wp14:editId="436EEF1D">
            <wp:extent cx="5274310" cy="32854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285490"/>
                    </a:xfrm>
                    <a:prstGeom prst="rect">
                      <a:avLst/>
                    </a:prstGeom>
                  </pic:spPr>
                </pic:pic>
              </a:graphicData>
            </a:graphic>
          </wp:inline>
        </w:drawing>
      </w:r>
    </w:p>
    <w:p w14:paraId="27A661CC" w14:textId="3257A62E" w:rsidR="00DE5AF0" w:rsidRPr="00DE5AF0" w:rsidRDefault="00DE5AF0" w:rsidP="00DE5AF0">
      <w:pPr>
        <w:snapToGrid w:val="0"/>
        <w:spacing w:line="360" w:lineRule="auto"/>
        <w:rPr>
          <w:rFonts w:ascii="宋体" w:eastAsia="宋体" w:hAnsi="宋体"/>
          <w:color w:val="333333"/>
          <w:spacing w:val="8"/>
          <w:sz w:val="24"/>
          <w:szCs w:val="24"/>
          <w:shd w:val="clear" w:color="auto" w:fill="FFFFFF"/>
        </w:rPr>
      </w:pPr>
      <w:r w:rsidRPr="00DE5AF0">
        <w:rPr>
          <w:rFonts w:ascii="宋体" w:eastAsia="宋体" w:hAnsi="宋体" w:hint="eastAsia"/>
          <w:color w:val="333333"/>
          <w:spacing w:val="8"/>
          <w:sz w:val="24"/>
          <w:szCs w:val="24"/>
          <w:shd w:val="clear" w:color="auto" w:fill="FFFFFF"/>
        </w:rPr>
        <w:t>2018年，中国已投产的20座LNG接收站的全年平均利用率约76%，冬季保供期间，北方LNG接收站基本满负荷运行。相比于欧洲、日本和韩国30%-41%的利用率（详见图3），我国的接收站利用率明显偏高，为确保富余的LNG</w:t>
      </w:r>
      <w:r w:rsidRPr="00DE5AF0">
        <w:rPr>
          <w:rFonts w:ascii="宋体" w:eastAsia="宋体" w:hAnsi="宋体" w:hint="eastAsia"/>
          <w:color w:val="333333"/>
          <w:spacing w:val="8"/>
          <w:sz w:val="24"/>
          <w:szCs w:val="24"/>
          <w:shd w:val="clear" w:color="auto" w:fill="FFFFFF"/>
        </w:rPr>
        <w:lastRenderedPageBreak/>
        <w:t>接收能力公平向第三方开放，需要设定合理的分配机制或引入竞争机制。</w:t>
      </w:r>
    </w:p>
    <w:p w14:paraId="678F11B8" w14:textId="44DA7483" w:rsidR="00DE5AF0" w:rsidRPr="00DE5AF0" w:rsidRDefault="00DE5AF0" w:rsidP="00DE5AF0">
      <w:pPr>
        <w:snapToGrid w:val="0"/>
        <w:spacing w:line="360" w:lineRule="auto"/>
        <w:rPr>
          <w:rFonts w:ascii="宋体" w:eastAsia="宋体" w:hAnsi="宋体"/>
          <w:sz w:val="24"/>
          <w:szCs w:val="24"/>
        </w:rPr>
      </w:pPr>
      <w:r w:rsidRPr="00DE5AF0">
        <w:rPr>
          <w:rFonts w:ascii="宋体" w:eastAsia="宋体" w:hAnsi="宋体"/>
          <w:noProof/>
          <w:sz w:val="24"/>
          <w:szCs w:val="24"/>
        </w:rPr>
        <w:drawing>
          <wp:inline distT="0" distB="0" distL="0" distR="0" wp14:anchorId="1C5284E7" wp14:editId="3F0BDAEC">
            <wp:extent cx="5274310" cy="30886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088640"/>
                    </a:xfrm>
                    <a:prstGeom prst="rect">
                      <a:avLst/>
                    </a:prstGeom>
                  </pic:spPr>
                </pic:pic>
              </a:graphicData>
            </a:graphic>
          </wp:inline>
        </w:drawing>
      </w:r>
    </w:p>
    <w:p w14:paraId="731D7902"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center"/>
        <w:rPr>
          <w:color w:val="333333"/>
          <w:spacing w:val="8"/>
        </w:rPr>
      </w:pPr>
      <w:r w:rsidRPr="00DE5AF0">
        <w:rPr>
          <w:rStyle w:val="a5"/>
          <w:rFonts w:hint="eastAsia"/>
          <w:color w:val="C00000"/>
          <w:spacing w:val="8"/>
        </w:rPr>
        <w:t>四、我国LNG进口情况</w:t>
      </w:r>
    </w:p>
    <w:p w14:paraId="4CB83724"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Style w:val="a5"/>
          <w:rFonts w:hint="eastAsia"/>
          <w:color w:val="333333"/>
          <w:spacing w:val="8"/>
        </w:rPr>
        <w:t>1、2018年我国LNG进口量</w:t>
      </w:r>
    </w:p>
    <w:p w14:paraId="52282BD4" w14:textId="54C30527"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Fonts w:hint="eastAsia"/>
          <w:color w:val="333333"/>
          <w:spacing w:val="8"/>
        </w:rPr>
        <w:t>2018年我国天然气表观消费量2803亿立方米，年均增速12.5%，远高于全球2.5%的平均增速。业内机构预测，到2025年，我国天然气表观消费量将达到5139亿立方米，但从2021年开始，预测增速有所放缓，低于10%增速。我国天然气消费情况如下图：</w:t>
      </w:r>
      <w:r w:rsidRPr="00DE5AF0">
        <w:rPr>
          <w:noProof/>
          <w:color w:val="333333"/>
          <w:spacing w:val="8"/>
        </w:rPr>
        <mc:AlternateContent>
          <mc:Choice Requires="wps">
            <w:drawing>
              <wp:inline distT="0" distB="0" distL="0" distR="0" wp14:anchorId="7C41606F" wp14:editId="3F3AFB2F">
                <wp:extent cx="304800" cy="304800"/>
                <wp:effectExtent l="0" t="0" r="0" b="0"/>
                <wp:docPr id="10" name="矩形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3DC231" id="矩形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MgIWen0AQAAwwMAAA4AAAAAAAAAAAAAAAAALgIAAGRycy9lMm9E&#10;b2MueG1sUEsBAi0AFAAGAAgAAAAhAEyg6SzYAAAAAwEAAA8AAAAAAAAAAAAAAAAATgQAAGRycy9k&#10;b3ducmV2LnhtbFBLBQYAAAAABAAEAPMAAABTBQAAAAA=&#10;" filled="f" stroked="f">
                <o:lock v:ext="edit" aspectratio="t"/>
                <w10:anchorlock/>
              </v:rect>
            </w:pict>
          </mc:Fallback>
        </mc:AlternateContent>
      </w:r>
    </w:p>
    <w:p w14:paraId="0BB4AB32" w14:textId="22A121BA" w:rsidR="00DE5AF0" w:rsidRPr="00DE5AF0" w:rsidRDefault="00DE5AF0" w:rsidP="00DE5AF0">
      <w:pPr>
        <w:snapToGrid w:val="0"/>
        <w:spacing w:line="360" w:lineRule="auto"/>
        <w:rPr>
          <w:rFonts w:ascii="宋体" w:eastAsia="宋体" w:hAnsi="宋体"/>
          <w:sz w:val="24"/>
          <w:szCs w:val="24"/>
        </w:rPr>
      </w:pPr>
      <w:r w:rsidRPr="00DE5AF0">
        <w:rPr>
          <w:rFonts w:ascii="宋体" w:eastAsia="宋体" w:hAnsi="宋体"/>
          <w:noProof/>
          <w:sz w:val="24"/>
          <w:szCs w:val="24"/>
        </w:rPr>
        <w:drawing>
          <wp:inline distT="0" distB="0" distL="0" distR="0" wp14:anchorId="7A01E72E" wp14:editId="3C4AF4E1">
            <wp:extent cx="5274310" cy="29324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32430"/>
                    </a:xfrm>
                    <a:prstGeom prst="rect">
                      <a:avLst/>
                    </a:prstGeom>
                  </pic:spPr>
                </pic:pic>
              </a:graphicData>
            </a:graphic>
          </wp:inline>
        </w:drawing>
      </w:r>
    </w:p>
    <w:p w14:paraId="59AD6D5E" w14:textId="22A39872" w:rsidR="00DE5AF0" w:rsidRPr="00DE5AF0" w:rsidRDefault="00DE5AF0" w:rsidP="00DE5AF0">
      <w:pPr>
        <w:pStyle w:val="a6"/>
        <w:shd w:val="clear" w:color="auto" w:fill="FFFFFF"/>
        <w:snapToGrid w:val="0"/>
        <w:spacing w:before="0" w:beforeAutospacing="0" w:after="0" w:afterAutospacing="0" w:line="360" w:lineRule="auto"/>
        <w:ind w:left="120" w:right="120"/>
        <w:jc w:val="both"/>
        <w:rPr>
          <w:color w:val="333333"/>
          <w:spacing w:val="8"/>
        </w:rPr>
      </w:pPr>
      <w:r w:rsidRPr="00DE5AF0">
        <w:rPr>
          <w:rFonts w:hint="eastAsia"/>
          <w:color w:val="333333"/>
          <w:spacing w:val="8"/>
        </w:rPr>
        <w:lastRenderedPageBreak/>
        <w:t>2018年，我国共进口LNG 5378万吨，增速达40.5%，占天然气进口总量的59.5%，其中LNG现货量约1800万吨（包括小短协），成为世界上第二大LNG进口国，长协与现货的比例约为2：1。进口LNG量在逐年增加，进口LNG在进口天然气总量的占比也在逐年提升。近几年我国天然气进口总量和进口LNG数量如下：</w:t>
      </w:r>
      <w:r w:rsidRPr="00DE5AF0">
        <w:rPr>
          <w:noProof/>
          <w:color w:val="333333"/>
          <w:spacing w:val="8"/>
        </w:rPr>
        <mc:AlternateContent>
          <mc:Choice Requires="wps">
            <w:drawing>
              <wp:inline distT="0" distB="0" distL="0" distR="0" wp14:anchorId="5A110303" wp14:editId="2204865E">
                <wp:extent cx="304800" cy="304800"/>
                <wp:effectExtent l="0" t="0" r="0" b="0"/>
                <wp:docPr id="12" name="矩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DB316" id="矩形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yKB8L9QEAAMMDAAAOAAAAAAAAAAAAAAAAAC4CAABkcnMvZTJv&#10;RG9jLnhtbFBLAQItABQABgAIAAAAIQBMoOks2AAAAAMBAAAPAAAAAAAAAAAAAAAAAE8EAABkcnMv&#10;ZG93bnJldi54bWxQSwUGAAAAAAQABADzAAAAVAUAAAAA&#10;" filled="f" stroked="f">
                <o:lock v:ext="edit" aspectratio="t"/>
                <w10:anchorlock/>
              </v:rect>
            </w:pict>
          </mc:Fallback>
        </mc:AlternateContent>
      </w:r>
    </w:p>
    <w:p w14:paraId="1A9799B7" w14:textId="06398F6F" w:rsidR="00DE5AF0" w:rsidRPr="00DE5AF0" w:rsidRDefault="00DE5AF0" w:rsidP="00DE5AF0">
      <w:pPr>
        <w:snapToGrid w:val="0"/>
        <w:spacing w:line="360" w:lineRule="auto"/>
        <w:rPr>
          <w:rFonts w:ascii="宋体" w:eastAsia="宋体" w:hAnsi="宋体"/>
          <w:sz w:val="24"/>
          <w:szCs w:val="24"/>
        </w:rPr>
      </w:pPr>
      <w:r w:rsidRPr="00DE5AF0">
        <w:rPr>
          <w:rFonts w:ascii="宋体" w:eastAsia="宋体" w:hAnsi="宋体"/>
          <w:noProof/>
          <w:sz w:val="24"/>
          <w:szCs w:val="24"/>
        </w:rPr>
        <w:drawing>
          <wp:inline distT="0" distB="0" distL="0" distR="0" wp14:anchorId="053D04ED" wp14:editId="0121BC18">
            <wp:extent cx="5274310" cy="301371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13710"/>
                    </a:xfrm>
                    <a:prstGeom prst="rect">
                      <a:avLst/>
                    </a:prstGeom>
                  </pic:spPr>
                </pic:pic>
              </a:graphicData>
            </a:graphic>
          </wp:inline>
        </w:drawing>
      </w:r>
    </w:p>
    <w:p w14:paraId="694036F7" w14:textId="569D30EE" w:rsidR="00DE5AF0" w:rsidRPr="00DE5AF0" w:rsidRDefault="00DE5AF0" w:rsidP="00DE5AF0">
      <w:pPr>
        <w:snapToGrid w:val="0"/>
        <w:spacing w:line="360" w:lineRule="auto"/>
        <w:rPr>
          <w:rFonts w:ascii="宋体" w:eastAsia="宋体" w:hAnsi="宋体"/>
          <w:color w:val="333333"/>
          <w:spacing w:val="8"/>
          <w:sz w:val="24"/>
          <w:szCs w:val="24"/>
          <w:shd w:val="clear" w:color="auto" w:fill="FFFFFF"/>
        </w:rPr>
      </w:pPr>
      <w:r w:rsidRPr="00DE5AF0">
        <w:rPr>
          <w:rFonts w:ascii="宋体" w:eastAsia="宋体" w:hAnsi="宋体" w:hint="eastAsia"/>
          <w:color w:val="333333"/>
          <w:spacing w:val="8"/>
          <w:sz w:val="24"/>
          <w:szCs w:val="24"/>
          <w:shd w:val="clear" w:color="auto" w:fill="FFFFFF"/>
        </w:rPr>
        <w:t>从2006年中海油广东大鹏项目签订的第一个LNG长协以来，三大石油公司、申能、新奥、九丰、广汇、华电等接收站拥有方陆续签订了5000多万吨/年LNG长协或框架协议，其中三大石油公司签订的长协大部分已经进入执行阶段，由于长协签订时间较为集中，需要到2030年左右才陆续开始到期。</w:t>
      </w:r>
    </w:p>
    <w:p w14:paraId="676AFD11" w14:textId="1C3AA04B" w:rsidR="00DE5AF0" w:rsidRPr="00DE5AF0" w:rsidRDefault="00DE5AF0" w:rsidP="00DE5AF0">
      <w:pPr>
        <w:snapToGrid w:val="0"/>
        <w:spacing w:line="360" w:lineRule="auto"/>
        <w:rPr>
          <w:rFonts w:ascii="宋体" w:eastAsia="宋体" w:hAnsi="宋体"/>
          <w:sz w:val="24"/>
          <w:szCs w:val="24"/>
        </w:rPr>
      </w:pPr>
      <w:r w:rsidRPr="00DE5AF0">
        <w:rPr>
          <w:rFonts w:ascii="宋体" w:eastAsia="宋体" w:hAnsi="宋体"/>
          <w:noProof/>
          <w:sz w:val="24"/>
          <w:szCs w:val="24"/>
        </w:rPr>
        <w:lastRenderedPageBreak/>
        <w:drawing>
          <wp:inline distT="0" distB="0" distL="0" distR="0" wp14:anchorId="50964323" wp14:editId="3E13E4BB">
            <wp:extent cx="5274310" cy="331279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312795"/>
                    </a:xfrm>
                    <a:prstGeom prst="rect">
                      <a:avLst/>
                    </a:prstGeom>
                  </pic:spPr>
                </pic:pic>
              </a:graphicData>
            </a:graphic>
          </wp:inline>
        </w:drawing>
      </w:r>
    </w:p>
    <w:p w14:paraId="4A32DBCB"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color w:val="333333"/>
          <w:spacing w:val="8"/>
        </w:rPr>
      </w:pPr>
      <w:r w:rsidRPr="00DE5AF0">
        <w:rPr>
          <w:rStyle w:val="a5"/>
          <w:rFonts w:hint="eastAsia"/>
          <w:color w:val="333333"/>
          <w:spacing w:val="8"/>
        </w:rPr>
        <w:t>2、近几年我国LNG进口价格和出厂价格</w:t>
      </w:r>
    </w:p>
    <w:p w14:paraId="1C26D9FC" w14:textId="6223BD22" w:rsidR="00DE5AF0" w:rsidRPr="00DE5AF0" w:rsidRDefault="00DE5AF0" w:rsidP="00DE5AF0">
      <w:pPr>
        <w:pStyle w:val="a6"/>
        <w:shd w:val="clear" w:color="auto" w:fill="FFFFFF"/>
        <w:snapToGrid w:val="0"/>
        <w:spacing w:before="0" w:beforeAutospacing="0" w:after="0" w:afterAutospacing="0" w:line="360" w:lineRule="auto"/>
        <w:ind w:left="120" w:right="120"/>
        <w:jc w:val="both"/>
        <w:rPr>
          <w:rFonts w:hint="eastAsia"/>
          <w:color w:val="333333"/>
          <w:spacing w:val="8"/>
        </w:rPr>
      </w:pPr>
      <w:r w:rsidRPr="00DE5AF0">
        <w:rPr>
          <w:rFonts w:hint="eastAsia"/>
          <w:color w:val="333333"/>
          <w:spacing w:val="8"/>
        </w:rPr>
        <w:t>2018年，中国LNG消费量近2300多万吨，除部分交通、工业用户外，也是管道气市场的重要补充，与管道气价格相互影响。下图采用江苏省LNG出站价格为例，可以看出，我国LNG出厂价格大部分时间高于LNG进口现货价格，中国作为进口LNG增量最大的市场，国际市场与国内市场联动性增强，尤其在2019年国内增幅放缓后，国际现货市场供大于求，价格一直处于低位，价差愈加明显。</w:t>
      </w:r>
      <w:r w:rsidRPr="00DE5AF0">
        <w:rPr>
          <w:noProof/>
          <w:color w:val="333333"/>
          <w:spacing w:val="8"/>
        </w:rPr>
        <mc:AlternateContent>
          <mc:Choice Requires="wps">
            <w:drawing>
              <wp:inline distT="0" distB="0" distL="0" distR="0" wp14:anchorId="7C00EA8B" wp14:editId="068CC9BB">
                <wp:extent cx="304800" cy="304800"/>
                <wp:effectExtent l="0" t="0" r="0" b="0"/>
                <wp:docPr id="15" name="矩形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442BB1" id="矩形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AXoeH9QEAAMMDAAAOAAAAAAAAAAAAAAAAAC4CAABkcnMvZTJv&#10;RG9jLnhtbFBLAQItABQABgAIAAAAIQBMoOks2AAAAAMBAAAPAAAAAAAAAAAAAAAAAE8EAABkcnMv&#10;ZG93bnJldi54bWxQSwUGAAAAAAQABADzAAAAVAUAAAAA&#10;" filled="f" stroked="f">
                <o:lock v:ext="edit" aspectratio="t"/>
                <w10:anchorlock/>
              </v:rect>
            </w:pict>
          </mc:Fallback>
        </mc:AlternateContent>
      </w:r>
    </w:p>
    <w:p w14:paraId="1024263B" w14:textId="471F9608" w:rsidR="00DE5AF0" w:rsidRPr="00DE5AF0" w:rsidRDefault="00DE5AF0" w:rsidP="00DE5AF0">
      <w:pPr>
        <w:snapToGrid w:val="0"/>
        <w:spacing w:line="360" w:lineRule="auto"/>
        <w:rPr>
          <w:rFonts w:ascii="宋体" w:eastAsia="宋体" w:hAnsi="宋体"/>
          <w:sz w:val="24"/>
          <w:szCs w:val="24"/>
        </w:rPr>
      </w:pPr>
      <w:r w:rsidRPr="00DE5AF0">
        <w:rPr>
          <w:rFonts w:ascii="宋体" w:eastAsia="宋体" w:hAnsi="宋体"/>
          <w:noProof/>
          <w:sz w:val="24"/>
          <w:szCs w:val="24"/>
        </w:rPr>
        <w:drawing>
          <wp:inline distT="0" distB="0" distL="0" distR="0" wp14:anchorId="4F4B1203" wp14:editId="055C75CB">
            <wp:extent cx="5274310" cy="31242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124200"/>
                    </a:xfrm>
                    <a:prstGeom prst="rect">
                      <a:avLst/>
                    </a:prstGeom>
                  </pic:spPr>
                </pic:pic>
              </a:graphicData>
            </a:graphic>
          </wp:inline>
        </w:drawing>
      </w:r>
    </w:p>
    <w:p w14:paraId="3F9211C7" w14:textId="77777777" w:rsidR="00DE5AF0" w:rsidRPr="00DE5AF0" w:rsidRDefault="00DE5AF0" w:rsidP="00DE5AF0">
      <w:pPr>
        <w:pStyle w:val="a6"/>
        <w:snapToGrid w:val="0"/>
        <w:spacing w:before="0" w:beforeAutospacing="0" w:after="0" w:afterAutospacing="0" w:line="360" w:lineRule="auto"/>
        <w:ind w:left="120" w:right="120"/>
      </w:pPr>
      <w:r w:rsidRPr="00DE5AF0">
        <w:lastRenderedPageBreak/>
        <w:t>国内市场与国际市场的价差使LNG接收站窗口期成为紧俏资源，市场上也出现了很多企业绕开LNG接收站瓶颈限制，采用LNG罐箱方式进口LNG，特别是通过日韩进口进一步缩短了运距，有利于提升周转效率，但目前仍然受到政策法规、堆场、效率等限制，仍未形成商业化、规模化运作。因此，接收站开放仍是现阶段国内企业参与上游的重要渠道。</w:t>
      </w:r>
    </w:p>
    <w:p w14:paraId="61C0D2B0" w14:textId="77777777" w:rsidR="00DE5AF0" w:rsidRPr="00DE5AF0" w:rsidRDefault="00DE5AF0" w:rsidP="00DE5AF0">
      <w:pPr>
        <w:pStyle w:val="a6"/>
        <w:snapToGrid w:val="0"/>
        <w:spacing w:before="0" w:beforeAutospacing="0" w:after="0" w:afterAutospacing="0" w:line="360" w:lineRule="auto"/>
        <w:ind w:left="120" w:right="120"/>
        <w:jc w:val="center"/>
      </w:pPr>
      <w:r w:rsidRPr="00DE5AF0">
        <w:rPr>
          <w:rStyle w:val="a5"/>
          <w:color w:val="C00000"/>
        </w:rPr>
        <w:t>五、国家管网公司成立后LNG接收站开放问题探讨</w:t>
      </w:r>
    </w:p>
    <w:p w14:paraId="3D5F8A25" w14:textId="77777777" w:rsidR="00DE5AF0" w:rsidRPr="00DE5AF0" w:rsidRDefault="00DE5AF0" w:rsidP="00DE5AF0">
      <w:pPr>
        <w:pStyle w:val="a6"/>
        <w:snapToGrid w:val="0"/>
        <w:spacing w:before="0" w:beforeAutospacing="0" w:after="0" w:afterAutospacing="0" w:line="360" w:lineRule="auto"/>
        <w:ind w:left="120" w:right="120"/>
      </w:pPr>
      <w:r w:rsidRPr="00DE5AF0">
        <w:rPr>
          <w:rStyle w:val="a5"/>
        </w:rPr>
        <w:t>1.国家管网公司接收站开放需解决的问题</w:t>
      </w:r>
    </w:p>
    <w:p w14:paraId="15438FFA" w14:textId="77777777" w:rsidR="00DE5AF0" w:rsidRPr="00DE5AF0" w:rsidRDefault="00DE5AF0" w:rsidP="00DE5AF0">
      <w:pPr>
        <w:pStyle w:val="a6"/>
        <w:snapToGrid w:val="0"/>
        <w:spacing w:before="0" w:beforeAutospacing="0" w:after="0" w:afterAutospacing="0" w:line="360" w:lineRule="auto"/>
        <w:ind w:left="120" w:right="120"/>
      </w:pPr>
      <w:r w:rsidRPr="00DE5AF0">
        <w:t>国家管网公司成立后，部分接收站资产将纳入国家管网公司，管道、接收站等基础设施均向第三方开放，仍有很多问题需要解决以便平稳过渡：</w:t>
      </w:r>
    </w:p>
    <w:p w14:paraId="5BF717D3" w14:textId="77777777" w:rsidR="00DE5AF0" w:rsidRPr="00DE5AF0" w:rsidRDefault="00DE5AF0" w:rsidP="00DE5AF0">
      <w:pPr>
        <w:pStyle w:val="a6"/>
        <w:snapToGrid w:val="0"/>
        <w:spacing w:before="0" w:beforeAutospacing="0" w:after="0" w:afterAutospacing="0" w:line="360" w:lineRule="auto"/>
        <w:ind w:left="120" w:right="120"/>
      </w:pPr>
      <w:r w:rsidRPr="00DE5AF0">
        <w:t>（1）互联互通建设：目前国内接收站平均利用率较高，部分利用率偏低的原因可能是由于未与主管网连接、区域内接收站密集，或当地消费量较低，一旦形成互联互通格局，可进一步提高利用率。</w:t>
      </w:r>
    </w:p>
    <w:p w14:paraId="3159E7B9" w14:textId="77777777" w:rsidR="00DE5AF0" w:rsidRPr="00DE5AF0" w:rsidRDefault="00DE5AF0" w:rsidP="00DE5AF0">
      <w:pPr>
        <w:pStyle w:val="a6"/>
        <w:snapToGrid w:val="0"/>
        <w:spacing w:before="0" w:beforeAutospacing="0" w:after="0" w:afterAutospacing="0" w:line="360" w:lineRule="auto"/>
        <w:ind w:left="120" w:right="120"/>
      </w:pPr>
      <w:r w:rsidRPr="00DE5AF0">
        <w:t>（2）容量分配机制：如何平衡与现有长协的关系，除资源方积极开展价格回顾之外，考虑一定的分摊机制，避免因大量现货进口导致原有长协产生违约风险，解决好现有存量用户和新增用户的关系。</w:t>
      </w:r>
    </w:p>
    <w:p w14:paraId="611B7787" w14:textId="77777777" w:rsidR="00DE5AF0" w:rsidRPr="00DE5AF0" w:rsidRDefault="00DE5AF0" w:rsidP="00DE5AF0">
      <w:pPr>
        <w:pStyle w:val="a6"/>
        <w:snapToGrid w:val="0"/>
        <w:spacing w:before="0" w:beforeAutospacing="0" w:after="0" w:afterAutospacing="0" w:line="360" w:lineRule="auto"/>
        <w:ind w:left="120" w:right="120"/>
      </w:pPr>
      <w:r w:rsidRPr="00DE5AF0">
        <w:t>（3）定价机制：短期内LNG接收站窗口期仍然属于稀缺资源，一旦开放，需要有合理竞争性定价机制和分配机制，做到公开透明和合理收益。</w:t>
      </w:r>
    </w:p>
    <w:p w14:paraId="75C54F48" w14:textId="77777777" w:rsidR="00DE5AF0" w:rsidRPr="00DE5AF0" w:rsidRDefault="00DE5AF0" w:rsidP="00DE5AF0">
      <w:pPr>
        <w:pStyle w:val="a6"/>
        <w:snapToGrid w:val="0"/>
        <w:spacing w:before="0" w:beforeAutospacing="0" w:after="0" w:afterAutospacing="0" w:line="360" w:lineRule="auto"/>
        <w:ind w:left="120" w:right="120"/>
      </w:pPr>
      <w:r w:rsidRPr="00DE5AF0">
        <w:t>（4）规模化和连续性：目前接收站冬季利用率较高，承担了大量的应急、调峰和保供功能，在冬季保持较高的水平，可利用的窗口期数量有限，而对于用户来说，稳定连续的窗口期保持提货稳定才有利于市场稳定，而不仅是阶段性的投机需求。</w:t>
      </w:r>
    </w:p>
    <w:p w14:paraId="2D7F63CF" w14:textId="77777777" w:rsidR="00DE5AF0" w:rsidRPr="00DE5AF0" w:rsidRDefault="00DE5AF0" w:rsidP="00DE5AF0">
      <w:pPr>
        <w:pStyle w:val="a6"/>
        <w:snapToGrid w:val="0"/>
        <w:spacing w:before="0" w:beforeAutospacing="0" w:after="0" w:afterAutospacing="0" w:line="360" w:lineRule="auto"/>
        <w:ind w:left="120" w:right="120"/>
      </w:pPr>
      <w:r w:rsidRPr="00DE5AF0">
        <w:t>（5）运行机制优化：使用LNG接收站窗口期的第三方用户，采用液态和气态方式提货，可能涉及跨区域提货，因此船货接卸、外输等运行机制和管输费的设计会对用户成本和管网运行有较大影响。同时，为了保证结算的公平性，需要尽快将推广热值计价提上日程。</w:t>
      </w:r>
    </w:p>
    <w:p w14:paraId="0B24D059" w14:textId="77777777" w:rsidR="00DE5AF0" w:rsidRPr="00DE5AF0" w:rsidRDefault="00DE5AF0" w:rsidP="00DE5AF0">
      <w:pPr>
        <w:pStyle w:val="a6"/>
        <w:snapToGrid w:val="0"/>
        <w:spacing w:before="0" w:beforeAutospacing="0" w:after="0" w:afterAutospacing="0" w:line="360" w:lineRule="auto"/>
        <w:ind w:left="120" w:right="120"/>
      </w:pPr>
      <w:r w:rsidRPr="00DE5AF0">
        <w:rPr>
          <w:rStyle w:val="a5"/>
        </w:rPr>
        <w:t>2.现阶段“进口LNG窗口一站通”产品的优势</w:t>
      </w:r>
    </w:p>
    <w:p w14:paraId="1E599923" w14:textId="77777777" w:rsidR="00DE5AF0" w:rsidRPr="00DE5AF0" w:rsidRDefault="00DE5AF0" w:rsidP="00DE5AF0">
      <w:pPr>
        <w:pStyle w:val="a6"/>
        <w:snapToGrid w:val="0"/>
        <w:spacing w:before="0" w:beforeAutospacing="0" w:after="0" w:afterAutospacing="0" w:line="360" w:lineRule="auto"/>
        <w:ind w:left="120" w:right="120"/>
      </w:pPr>
      <w:r w:rsidRPr="00DE5AF0">
        <w:t>为贯彻国家油气体制改革，落实天然气基础设施向第三方公平开放的政策要求，实现我国天然气供应主体多元化，创新天然气供应保障新模式，助力产供储运销体系建设，促进行业持续健康稳定发展，中海油和上海石油天然气</w:t>
      </w:r>
      <w:r w:rsidRPr="00DE5AF0">
        <w:lastRenderedPageBreak/>
        <w:t>交易中心联合推出的“进口LNG窗口一站通”长期协议产品，为希望进入LNG进口及下游销售全产业链的主体提供了一个机会。其主要特点如下：</w:t>
      </w:r>
    </w:p>
    <w:p w14:paraId="6E548D08" w14:textId="77777777" w:rsidR="00DE5AF0" w:rsidRPr="00DE5AF0" w:rsidRDefault="00DE5AF0" w:rsidP="00DE5AF0">
      <w:pPr>
        <w:pStyle w:val="a6"/>
        <w:snapToGrid w:val="0"/>
        <w:spacing w:before="0" w:beforeAutospacing="0" w:after="0" w:afterAutospacing="0" w:line="360" w:lineRule="auto"/>
        <w:ind w:left="120" w:right="120"/>
      </w:pPr>
      <w:r w:rsidRPr="00DE5AF0">
        <w:t>（1）连续性和稳定性：长期协议包括5-10年的LNG窗口期使用，每季度一船，可以实现全年均匀提货。</w:t>
      </w:r>
    </w:p>
    <w:p w14:paraId="3CB36A63" w14:textId="77777777" w:rsidR="00DE5AF0" w:rsidRPr="00DE5AF0" w:rsidRDefault="00DE5AF0" w:rsidP="00DE5AF0">
      <w:pPr>
        <w:pStyle w:val="a6"/>
        <w:snapToGrid w:val="0"/>
        <w:spacing w:before="0" w:beforeAutospacing="0" w:after="0" w:afterAutospacing="0" w:line="360" w:lineRule="auto"/>
        <w:ind w:left="120" w:right="120"/>
      </w:pPr>
      <w:r w:rsidRPr="00DE5AF0">
        <w:t>（2）长协和现货组合：长协与现货的比例为1:1，相比现有三大石油公司进口LNG约2:1的长现货比例，具有一定的市场优势。据IEA预测，到2024年，国际LNG贸易处于供大于求状态，有利于现货的采购和议价。</w:t>
      </w:r>
    </w:p>
    <w:p w14:paraId="4A0522D1" w14:textId="77777777" w:rsidR="00DE5AF0" w:rsidRPr="00DE5AF0" w:rsidRDefault="00DE5AF0" w:rsidP="00DE5AF0">
      <w:pPr>
        <w:pStyle w:val="a6"/>
        <w:snapToGrid w:val="0"/>
        <w:spacing w:before="0" w:beforeAutospacing="0" w:after="0" w:afterAutospacing="0" w:line="360" w:lineRule="auto"/>
        <w:ind w:left="120" w:right="120"/>
      </w:pPr>
      <w:r w:rsidRPr="00DE5AF0">
        <w:t>（3）灵活的提货方式：可以在某一接收站卸载进口LNG，同时协调在国内的其他接收站提货，满足不同区域的市场需求。它可以满足液态出货，也可以气态出货，国家管网公司成立后，更有利于气态出货，满足更大的市场需求。采用以吉焦为单位的热值计价对买卖双方更加公平。</w:t>
      </w:r>
    </w:p>
    <w:p w14:paraId="42159760" w14:textId="77777777" w:rsidR="00DE5AF0" w:rsidRPr="00DE5AF0" w:rsidRDefault="00DE5AF0" w:rsidP="00DE5AF0">
      <w:pPr>
        <w:pStyle w:val="a6"/>
        <w:snapToGrid w:val="0"/>
        <w:spacing w:before="0" w:beforeAutospacing="0" w:after="0" w:afterAutospacing="0" w:line="360" w:lineRule="auto"/>
        <w:ind w:left="120" w:right="120"/>
      </w:pPr>
      <w:r w:rsidRPr="00DE5AF0">
        <w:t>（4）操作便捷：进口LNG窗口一站通可以帮助第三方主体进行进口环节的船岸匹配、报关报检等相关服务，提供一站式服务，流程便捷；同时满足客户通过分期滚动预付款的方式提货，降低了整船LNG进口的资金压力，使资金周转更灵活，更高效。</w:t>
      </w:r>
    </w:p>
    <w:p w14:paraId="515D037C" w14:textId="77777777" w:rsidR="00DE5AF0" w:rsidRPr="00DE5AF0" w:rsidRDefault="00DE5AF0" w:rsidP="00DE5AF0">
      <w:pPr>
        <w:pStyle w:val="a6"/>
        <w:snapToGrid w:val="0"/>
        <w:spacing w:before="0" w:beforeAutospacing="0" w:after="0" w:afterAutospacing="0" w:line="360" w:lineRule="auto"/>
        <w:ind w:left="120" w:right="120"/>
      </w:pPr>
      <w:r w:rsidRPr="00DE5AF0">
        <w:t>（5）资源采购优势：除客户自采外，可通过中海油代采方式，中海油作为国际第三大LNG进口公司，具有丰富的经验、资源和人才；上海石油天然气交易中心作为国家级平台，也将为客户采购海外LNG资源提供良好支持。</w:t>
      </w:r>
    </w:p>
    <w:p w14:paraId="785B7C11" w14:textId="77777777" w:rsidR="00DE5AF0" w:rsidRPr="00DE5AF0" w:rsidRDefault="00DE5AF0" w:rsidP="00DE5AF0">
      <w:pPr>
        <w:pStyle w:val="a6"/>
        <w:snapToGrid w:val="0"/>
        <w:spacing w:before="0" w:beforeAutospacing="0" w:after="0" w:afterAutospacing="0" w:line="360" w:lineRule="auto"/>
        <w:ind w:left="120" w:right="120"/>
        <w:jc w:val="center"/>
      </w:pPr>
      <w:r w:rsidRPr="00DE5AF0">
        <w:rPr>
          <w:rStyle w:val="a5"/>
          <w:color w:val="C00000"/>
        </w:rPr>
        <w:t>六、总结</w:t>
      </w:r>
    </w:p>
    <w:p w14:paraId="68B39814" w14:textId="77777777" w:rsidR="00DE5AF0" w:rsidRPr="00DE5AF0" w:rsidRDefault="00DE5AF0" w:rsidP="00DE5AF0">
      <w:pPr>
        <w:pStyle w:val="a6"/>
        <w:snapToGrid w:val="0"/>
        <w:spacing w:before="0" w:beforeAutospacing="0" w:after="0" w:afterAutospacing="0" w:line="360" w:lineRule="auto"/>
        <w:ind w:left="120" w:right="120"/>
      </w:pPr>
      <w:r w:rsidRPr="00DE5AF0">
        <w:t>通过对我国接收站开放政策和历程的回顾，参照国外向市场化过渡阶段接收站开放的影响，同时结合我国接收站建设和天然气消费前景，对国家管网公司成立背景下LNG接收站开放总结及建议如下：</w:t>
      </w:r>
    </w:p>
    <w:p w14:paraId="4CDE1380" w14:textId="77777777" w:rsidR="00DE5AF0" w:rsidRPr="00DE5AF0" w:rsidRDefault="00DE5AF0" w:rsidP="00DE5AF0">
      <w:pPr>
        <w:pStyle w:val="a6"/>
        <w:snapToGrid w:val="0"/>
        <w:spacing w:before="0" w:beforeAutospacing="0" w:after="0" w:afterAutospacing="0" w:line="360" w:lineRule="auto"/>
        <w:ind w:left="120" w:right="120"/>
      </w:pPr>
      <w:r w:rsidRPr="00DE5AF0">
        <w:t>（1）LNG接收站及配套基础设施开放是国家油气体制改革的方向，是促进上游供应主体多元化的重要途径。接收站开放经过了多年的市场尝试，从操作模式上具有可行性，但在规模化、连续性上仍有待提升。</w:t>
      </w:r>
    </w:p>
    <w:p w14:paraId="7E9F0657" w14:textId="77777777" w:rsidR="00DE5AF0" w:rsidRPr="00DE5AF0" w:rsidRDefault="00DE5AF0" w:rsidP="00DE5AF0">
      <w:pPr>
        <w:pStyle w:val="a6"/>
        <w:snapToGrid w:val="0"/>
        <w:spacing w:before="0" w:beforeAutospacing="0" w:after="0" w:afterAutospacing="0" w:line="360" w:lineRule="auto"/>
        <w:ind w:left="120" w:right="120"/>
      </w:pPr>
      <w:r w:rsidRPr="00DE5AF0">
        <w:t>（2）中国LNG接收站平均利用率较高，从短期来看，LNG接收站窗口期仍相对稀缺，需要有合理的分配机制或竞争机制，确保第三方主体的公平参与。</w:t>
      </w:r>
    </w:p>
    <w:p w14:paraId="35C32693" w14:textId="77777777" w:rsidR="00DE5AF0" w:rsidRPr="00DE5AF0" w:rsidRDefault="00DE5AF0" w:rsidP="00DE5AF0">
      <w:pPr>
        <w:pStyle w:val="a6"/>
        <w:snapToGrid w:val="0"/>
        <w:spacing w:before="0" w:beforeAutospacing="0" w:after="0" w:afterAutospacing="0" w:line="360" w:lineRule="auto"/>
        <w:ind w:left="120" w:right="120"/>
      </w:pPr>
      <w:r w:rsidRPr="00DE5AF0">
        <w:t>（3）近几年供应量增幅超过需求量增幅，LNG国际市场供应充足，现货市场价格将保持低位运行。</w:t>
      </w:r>
    </w:p>
    <w:p w14:paraId="1AABAFB2" w14:textId="77777777" w:rsidR="00DE5AF0" w:rsidRPr="00DE5AF0" w:rsidRDefault="00DE5AF0" w:rsidP="00DE5AF0">
      <w:pPr>
        <w:pStyle w:val="a6"/>
        <w:snapToGrid w:val="0"/>
        <w:spacing w:before="0" w:beforeAutospacing="0" w:after="0" w:afterAutospacing="0" w:line="360" w:lineRule="auto"/>
        <w:ind w:left="120" w:right="120"/>
      </w:pPr>
      <w:r w:rsidRPr="00DE5AF0">
        <w:lastRenderedPageBreak/>
        <w:t>（4）国家管网公司接收站开放需统筹协调各方面因素，进口管道气和LNG的长协问题不容忽视，同时避免接收站投资过剩，确保产业链能够健康有序发展。</w:t>
      </w:r>
    </w:p>
    <w:p w14:paraId="477FEE6B" w14:textId="77777777" w:rsidR="00DE5AF0" w:rsidRPr="00DE5AF0" w:rsidRDefault="00DE5AF0" w:rsidP="00DE5AF0">
      <w:pPr>
        <w:pStyle w:val="a6"/>
        <w:snapToGrid w:val="0"/>
        <w:spacing w:before="0" w:beforeAutospacing="0" w:after="0" w:afterAutospacing="0" w:line="360" w:lineRule="auto"/>
        <w:ind w:left="120" w:right="120"/>
      </w:pPr>
      <w:r w:rsidRPr="00DE5AF0">
        <w:t>（5）进口LNG窗口一站通和资源互换等业务开展能够有效的提高资产利用效率和规避不合理的运输，可以借鉴相关操作经验。</w:t>
      </w:r>
    </w:p>
    <w:p w14:paraId="11EA65E7" w14:textId="77777777" w:rsidR="00DE5AF0" w:rsidRPr="00DE5AF0" w:rsidRDefault="00DE5AF0" w:rsidP="00DE5AF0">
      <w:pPr>
        <w:pStyle w:val="a6"/>
        <w:snapToGrid w:val="0"/>
        <w:spacing w:before="0" w:beforeAutospacing="0" w:after="0" w:afterAutospacing="0" w:line="360" w:lineRule="auto"/>
        <w:ind w:left="120" w:right="120"/>
      </w:pPr>
      <w:r w:rsidRPr="00DE5AF0">
        <w:t>国家管网公司已成立，“X+1+X”的天然气市场格局正在逐步形成，我国天然气市场化程度也在逐步提高，未来几年国际LNG市场也基本是供大于求的局面，精准定位，准确分析，抓住机遇，就有机会成为我国天然气行业的多供应主体X之一，助推我国天然气市场化程度。</w:t>
      </w:r>
    </w:p>
    <w:p w14:paraId="6853F907" w14:textId="77777777" w:rsidR="00DE5AF0" w:rsidRPr="00DE5AF0" w:rsidRDefault="00DE5AF0" w:rsidP="00DE5AF0">
      <w:pPr>
        <w:pStyle w:val="a6"/>
        <w:shd w:val="clear" w:color="auto" w:fill="FFFFFF"/>
        <w:snapToGrid w:val="0"/>
        <w:spacing w:before="0" w:beforeAutospacing="0" w:after="0" w:afterAutospacing="0" w:line="360" w:lineRule="auto"/>
        <w:ind w:left="120" w:right="120"/>
        <w:jc w:val="both"/>
        <w:rPr>
          <w:color w:val="333333"/>
          <w:spacing w:val="8"/>
        </w:rPr>
      </w:pPr>
      <w:r w:rsidRPr="00DE5AF0">
        <w:rPr>
          <w:rFonts w:hint="eastAsia"/>
          <w:color w:val="333333"/>
          <w:spacing w:val="8"/>
        </w:rPr>
        <w:t>来源：上海石油天然气交易中心</w:t>
      </w:r>
    </w:p>
    <w:p w14:paraId="21CB8DF8" w14:textId="77777777" w:rsidR="00DE5AF0" w:rsidRPr="00DE5AF0" w:rsidRDefault="00DE5AF0" w:rsidP="00DE5AF0">
      <w:pPr>
        <w:snapToGrid w:val="0"/>
        <w:spacing w:line="360" w:lineRule="auto"/>
        <w:rPr>
          <w:rFonts w:ascii="宋体" w:eastAsia="宋体" w:hAnsi="宋体" w:hint="eastAsia"/>
          <w:sz w:val="24"/>
          <w:szCs w:val="24"/>
        </w:rPr>
      </w:pPr>
    </w:p>
    <w:sectPr w:rsidR="00DE5AF0" w:rsidRPr="00DE5AF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797"/>
    <w:rsid w:val="00483EEE"/>
    <w:rsid w:val="00DE5AF0"/>
    <w:rsid w:val="00F04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E9B39"/>
  <w15:chartTrackingRefBased/>
  <w15:docId w15:val="{11973E53-65ED-4147-B6FF-B1477341F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DE5AF0"/>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DE5AF0"/>
    <w:rPr>
      <w:rFonts w:ascii="宋体" w:eastAsia="宋体" w:hAnsi="宋体" w:cs="宋体"/>
      <w:b/>
      <w:bCs/>
      <w:kern w:val="0"/>
      <w:sz w:val="36"/>
      <w:szCs w:val="36"/>
    </w:rPr>
  </w:style>
  <w:style w:type="character" w:customStyle="1" w:styleId="richmediameta">
    <w:name w:val="rich_media_meta"/>
    <w:basedOn w:val="a0"/>
    <w:rsid w:val="00DE5AF0"/>
  </w:style>
  <w:style w:type="character" w:styleId="a3">
    <w:name w:val="Hyperlink"/>
    <w:basedOn w:val="a0"/>
    <w:uiPriority w:val="99"/>
    <w:semiHidden/>
    <w:unhideWhenUsed/>
    <w:rsid w:val="00DE5AF0"/>
    <w:rPr>
      <w:color w:val="0000FF"/>
      <w:u w:val="single"/>
    </w:rPr>
  </w:style>
  <w:style w:type="character" w:styleId="a4">
    <w:name w:val="Emphasis"/>
    <w:basedOn w:val="a0"/>
    <w:uiPriority w:val="20"/>
    <w:qFormat/>
    <w:rsid w:val="00DE5AF0"/>
    <w:rPr>
      <w:i/>
      <w:iCs/>
    </w:rPr>
  </w:style>
  <w:style w:type="paragraph" w:customStyle="1" w:styleId="originalprimarycardtips">
    <w:name w:val="original_primary_card_tips"/>
    <w:basedOn w:val="a"/>
    <w:rsid w:val="00DE5AF0"/>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DE5AF0"/>
    <w:rPr>
      <w:b/>
      <w:bCs/>
    </w:rPr>
  </w:style>
  <w:style w:type="paragraph" w:customStyle="1" w:styleId="originalprimarydesc">
    <w:name w:val="original_primary_desc"/>
    <w:basedOn w:val="a"/>
    <w:rsid w:val="00DE5AF0"/>
    <w:pPr>
      <w:widowControl/>
      <w:spacing w:before="100" w:beforeAutospacing="1" w:after="100" w:afterAutospacing="1"/>
      <w:jc w:val="left"/>
    </w:pPr>
    <w:rPr>
      <w:rFonts w:ascii="宋体" w:eastAsia="宋体" w:hAnsi="宋体" w:cs="宋体"/>
      <w:kern w:val="0"/>
      <w:sz w:val="24"/>
      <w:szCs w:val="24"/>
    </w:rPr>
  </w:style>
  <w:style w:type="paragraph" w:styleId="a6">
    <w:name w:val="Normal (Web)"/>
    <w:basedOn w:val="a"/>
    <w:uiPriority w:val="99"/>
    <w:semiHidden/>
    <w:unhideWhenUsed/>
    <w:rsid w:val="00DE5AF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36753">
      <w:bodyDiv w:val="1"/>
      <w:marLeft w:val="0"/>
      <w:marRight w:val="0"/>
      <w:marTop w:val="0"/>
      <w:marBottom w:val="0"/>
      <w:divBdr>
        <w:top w:val="none" w:sz="0" w:space="0" w:color="auto"/>
        <w:left w:val="none" w:sz="0" w:space="0" w:color="auto"/>
        <w:bottom w:val="none" w:sz="0" w:space="0" w:color="auto"/>
        <w:right w:val="none" w:sz="0" w:space="0" w:color="auto"/>
      </w:divBdr>
    </w:div>
    <w:div w:id="411663752">
      <w:bodyDiv w:val="1"/>
      <w:marLeft w:val="0"/>
      <w:marRight w:val="0"/>
      <w:marTop w:val="0"/>
      <w:marBottom w:val="0"/>
      <w:divBdr>
        <w:top w:val="none" w:sz="0" w:space="0" w:color="auto"/>
        <w:left w:val="none" w:sz="0" w:space="0" w:color="auto"/>
        <w:bottom w:val="none" w:sz="0" w:space="0" w:color="auto"/>
        <w:right w:val="none" w:sz="0" w:space="0" w:color="auto"/>
      </w:divBdr>
    </w:div>
    <w:div w:id="626282158">
      <w:bodyDiv w:val="1"/>
      <w:marLeft w:val="0"/>
      <w:marRight w:val="0"/>
      <w:marTop w:val="0"/>
      <w:marBottom w:val="0"/>
      <w:divBdr>
        <w:top w:val="none" w:sz="0" w:space="0" w:color="auto"/>
        <w:left w:val="none" w:sz="0" w:space="0" w:color="auto"/>
        <w:bottom w:val="none" w:sz="0" w:space="0" w:color="auto"/>
        <w:right w:val="none" w:sz="0" w:space="0" w:color="auto"/>
      </w:divBdr>
    </w:div>
    <w:div w:id="694843490">
      <w:bodyDiv w:val="1"/>
      <w:marLeft w:val="0"/>
      <w:marRight w:val="0"/>
      <w:marTop w:val="0"/>
      <w:marBottom w:val="0"/>
      <w:divBdr>
        <w:top w:val="none" w:sz="0" w:space="0" w:color="auto"/>
        <w:left w:val="none" w:sz="0" w:space="0" w:color="auto"/>
        <w:bottom w:val="none" w:sz="0" w:space="0" w:color="auto"/>
        <w:right w:val="none" w:sz="0" w:space="0" w:color="auto"/>
      </w:divBdr>
    </w:div>
    <w:div w:id="792485673">
      <w:bodyDiv w:val="1"/>
      <w:marLeft w:val="0"/>
      <w:marRight w:val="0"/>
      <w:marTop w:val="0"/>
      <w:marBottom w:val="0"/>
      <w:divBdr>
        <w:top w:val="none" w:sz="0" w:space="0" w:color="auto"/>
        <w:left w:val="none" w:sz="0" w:space="0" w:color="auto"/>
        <w:bottom w:val="none" w:sz="0" w:space="0" w:color="auto"/>
        <w:right w:val="none" w:sz="0" w:space="0" w:color="auto"/>
      </w:divBdr>
    </w:div>
    <w:div w:id="1275669472">
      <w:bodyDiv w:val="1"/>
      <w:marLeft w:val="0"/>
      <w:marRight w:val="0"/>
      <w:marTop w:val="0"/>
      <w:marBottom w:val="0"/>
      <w:divBdr>
        <w:top w:val="none" w:sz="0" w:space="0" w:color="auto"/>
        <w:left w:val="none" w:sz="0" w:space="0" w:color="auto"/>
        <w:bottom w:val="none" w:sz="0" w:space="0" w:color="auto"/>
        <w:right w:val="none" w:sz="0" w:space="0" w:color="auto"/>
      </w:divBdr>
    </w:div>
    <w:div w:id="1327825302">
      <w:bodyDiv w:val="1"/>
      <w:marLeft w:val="0"/>
      <w:marRight w:val="0"/>
      <w:marTop w:val="0"/>
      <w:marBottom w:val="0"/>
      <w:divBdr>
        <w:top w:val="none" w:sz="0" w:space="0" w:color="auto"/>
        <w:left w:val="none" w:sz="0" w:space="0" w:color="auto"/>
        <w:bottom w:val="none" w:sz="0" w:space="0" w:color="auto"/>
        <w:right w:val="none" w:sz="0" w:space="0" w:color="auto"/>
      </w:divBdr>
    </w:div>
    <w:div w:id="1334529303">
      <w:bodyDiv w:val="1"/>
      <w:marLeft w:val="0"/>
      <w:marRight w:val="0"/>
      <w:marTop w:val="0"/>
      <w:marBottom w:val="0"/>
      <w:divBdr>
        <w:top w:val="none" w:sz="0" w:space="0" w:color="auto"/>
        <w:left w:val="none" w:sz="0" w:space="0" w:color="auto"/>
        <w:bottom w:val="none" w:sz="0" w:space="0" w:color="auto"/>
        <w:right w:val="none" w:sz="0" w:space="0" w:color="auto"/>
      </w:divBdr>
    </w:div>
    <w:div w:id="1431966393">
      <w:bodyDiv w:val="1"/>
      <w:marLeft w:val="0"/>
      <w:marRight w:val="0"/>
      <w:marTop w:val="0"/>
      <w:marBottom w:val="0"/>
      <w:divBdr>
        <w:top w:val="none" w:sz="0" w:space="0" w:color="auto"/>
        <w:left w:val="none" w:sz="0" w:space="0" w:color="auto"/>
        <w:bottom w:val="none" w:sz="0" w:space="0" w:color="auto"/>
        <w:right w:val="none" w:sz="0" w:space="0" w:color="auto"/>
      </w:divBdr>
    </w:div>
    <w:div w:id="1563715940">
      <w:bodyDiv w:val="1"/>
      <w:marLeft w:val="0"/>
      <w:marRight w:val="0"/>
      <w:marTop w:val="0"/>
      <w:marBottom w:val="0"/>
      <w:divBdr>
        <w:top w:val="none" w:sz="0" w:space="0" w:color="auto"/>
        <w:left w:val="none" w:sz="0" w:space="0" w:color="auto"/>
        <w:bottom w:val="none" w:sz="0" w:space="0" w:color="auto"/>
        <w:right w:val="none" w:sz="0" w:space="0" w:color="auto"/>
      </w:divBdr>
      <w:divsChild>
        <w:div w:id="1777165948">
          <w:marLeft w:val="0"/>
          <w:marRight w:val="0"/>
          <w:marTop w:val="0"/>
          <w:marBottom w:val="330"/>
          <w:divBdr>
            <w:top w:val="none" w:sz="0" w:space="0" w:color="auto"/>
            <w:left w:val="none" w:sz="0" w:space="0" w:color="auto"/>
            <w:bottom w:val="none" w:sz="0" w:space="0" w:color="auto"/>
            <w:right w:val="none" w:sz="0" w:space="0" w:color="auto"/>
          </w:divBdr>
        </w:div>
        <w:div w:id="1309869732">
          <w:marLeft w:val="0"/>
          <w:marRight w:val="0"/>
          <w:marTop w:val="0"/>
          <w:marBottom w:val="360"/>
          <w:divBdr>
            <w:top w:val="none" w:sz="0" w:space="0" w:color="auto"/>
            <w:left w:val="none" w:sz="0" w:space="0" w:color="auto"/>
            <w:bottom w:val="none" w:sz="0" w:space="0" w:color="auto"/>
            <w:right w:val="none" w:sz="0" w:space="0" w:color="auto"/>
          </w:divBdr>
          <w:divsChild>
            <w:div w:id="282154209">
              <w:marLeft w:val="0"/>
              <w:marRight w:val="0"/>
              <w:marTop w:val="0"/>
              <w:marBottom w:val="0"/>
              <w:divBdr>
                <w:top w:val="none" w:sz="0" w:space="0" w:color="auto"/>
                <w:left w:val="none" w:sz="0" w:space="0" w:color="auto"/>
                <w:bottom w:val="none" w:sz="0" w:space="0" w:color="auto"/>
                <w:right w:val="none" w:sz="0" w:space="0" w:color="auto"/>
              </w:divBdr>
            </w:div>
            <w:div w:id="14015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3718">
      <w:bodyDiv w:val="1"/>
      <w:marLeft w:val="0"/>
      <w:marRight w:val="0"/>
      <w:marTop w:val="0"/>
      <w:marBottom w:val="0"/>
      <w:divBdr>
        <w:top w:val="none" w:sz="0" w:space="0" w:color="auto"/>
        <w:left w:val="none" w:sz="0" w:space="0" w:color="auto"/>
        <w:bottom w:val="none" w:sz="0" w:space="0" w:color="auto"/>
        <w:right w:val="none" w:sz="0" w:space="0" w:color="auto"/>
      </w:divBdr>
    </w:div>
    <w:div w:id="213104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834</Words>
  <Characters>4759</Characters>
  <Application>Microsoft Office Word</Application>
  <DocSecurity>0</DocSecurity>
  <Lines>39</Lines>
  <Paragraphs>11</Paragraphs>
  <ScaleCrop>false</ScaleCrop>
  <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2020-02-11T14:19:00Z</dcterms:created>
  <dcterms:modified xsi:type="dcterms:W3CDTF">2020-02-11T14:26:00Z</dcterms:modified>
</cp:coreProperties>
</file>