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1FF75E" w14:textId="35FB5A1B"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b/>
          <w:bCs/>
          <w:color w:val="333333"/>
          <w:spacing w:val="8"/>
          <w:kern w:val="0"/>
          <w:sz w:val="44"/>
          <w:szCs w:val="44"/>
        </w:rPr>
      </w:pPr>
      <w:bookmarkStart w:id="0" w:name="_GoBack"/>
      <w:r w:rsidRPr="00EB15CB">
        <w:rPr>
          <w:rFonts w:ascii="宋体" w:eastAsia="宋体" w:hAnsi="宋体" w:cs="宋体" w:hint="eastAsia"/>
          <w:b/>
          <w:bCs/>
          <w:color w:val="333333"/>
          <w:spacing w:val="8"/>
          <w:kern w:val="0"/>
          <w:sz w:val="44"/>
          <w:szCs w:val="44"/>
        </w:rPr>
        <w:t>【石油观察家】2019全球、中国原油进出口航运、港口大数据</w:t>
      </w:r>
    </w:p>
    <w:bookmarkEnd w:id="0"/>
    <w:p w14:paraId="06BC9C26" w14:textId="68E9BDE7"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5A0AAE02" wp14:editId="6103C6AD">
            <wp:extent cx="5274310" cy="32499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249930"/>
                    </a:xfrm>
                    <a:prstGeom prst="rect">
                      <a:avLst/>
                    </a:prstGeom>
                    <a:noFill/>
                    <a:ln>
                      <a:noFill/>
                    </a:ln>
                  </pic:spPr>
                </pic:pic>
              </a:graphicData>
            </a:graphic>
          </wp:inline>
        </w:drawing>
      </w:r>
    </w:p>
    <w:p w14:paraId="6A2725B3" w14:textId="2C51A1BC"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5279FB8B" wp14:editId="147D772C">
            <wp:extent cx="5274310" cy="32600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260090"/>
                    </a:xfrm>
                    <a:prstGeom prst="rect">
                      <a:avLst/>
                    </a:prstGeom>
                    <a:noFill/>
                    <a:ln>
                      <a:noFill/>
                    </a:ln>
                  </pic:spPr>
                </pic:pic>
              </a:graphicData>
            </a:graphic>
          </wp:inline>
        </w:drawing>
      </w:r>
    </w:p>
    <w:p w14:paraId="52B67F77" w14:textId="3C620CC9" w:rsidR="00EB15CB" w:rsidRPr="00EB15CB" w:rsidRDefault="00EB15CB" w:rsidP="00EB15CB">
      <w:pPr>
        <w:widowControl/>
        <w:shd w:val="clear" w:color="auto" w:fill="FFFFFF"/>
        <w:snapToGrid w:val="0"/>
        <w:spacing w:after="210" w:line="360" w:lineRule="auto"/>
        <w:jc w:val="left"/>
        <w:outlineLvl w:val="1"/>
        <w:rPr>
          <w:rFonts w:ascii="宋体" w:eastAsia="宋体" w:hAnsi="宋体"/>
          <w:color w:val="000000"/>
          <w:spacing w:val="8"/>
          <w:sz w:val="24"/>
          <w:szCs w:val="24"/>
          <w:shd w:val="clear" w:color="auto" w:fill="FFFFFF"/>
        </w:rPr>
      </w:pPr>
      <w:r w:rsidRPr="00EB15CB">
        <w:rPr>
          <w:rFonts w:ascii="宋体" w:eastAsia="宋体" w:hAnsi="宋体" w:hint="eastAsia"/>
          <w:color w:val="000000"/>
          <w:spacing w:val="8"/>
          <w:sz w:val="24"/>
          <w:szCs w:val="24"/>
          <w:shd w:val="clear" w:color="auto" w:fill="FFFFFF"/>
        </w:rPr>
        <w:lastRenderedPageBreak/>
        <w:t>基于“油化52Hz”全球3326艘原油船的动态统计，2019年原油船全球共挂靠41498次，涉及119个国家，初步估算全球原油海运运输量达到了21亿吨，比2018年略有增长约0.5%。</w:t>
      </w:r>
    </w:p>
    <w:p w14:paraId="18915F5A" w14:textId="7A06322B"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0B14589E" wp14:editId="1DEBCC38">
            <wp:extent cx="5274310" cy="26079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607945"/>
                    </a:xfrm>
                    <a:prstGeom prst="rect">
                      <a:avLst/>
                    </a:prstGeom>
                  </pic:spPr>
                </pic:pic>
              </a:graphicData>
            </a:graphic>
          </wp:inline>
        </w:drawing>
      </w:r>
    </w:p>
    <w:p w14:paraId="616E8813" w14:textId="77777777" w:rsidR="00EB15CB" w:rsidRPr="00EB15CB" w:rsidRDefault="00EB15CB" w:rsidP="00EB15CB">
      <w:pPr>
        <w:pStyle w:val="a3"/>
        <w:numPr>
          <w:ilvl w:val="0"/>
          <w:numId w:val="1"/>
        </w:numPr>
        <w:shd w:val="clear" w:color="auto" w:fill="FFFFFF"/>
        <w:snapToGrid w:val="0"/>
        <w:spacing w:before="0" w:beforeAutospacing="0" w:after="0" w:afterAutospacing="0" w:line="360" w:lineRule="auto"/>
        <w:ind w:left="0"/>
        <w:jc w:val="both"/>
        <w:rPr>
          <w:color w:val="333333"/>
          <w:spacing w:val="8"/>
        </w:rPr>
      </w:pPr>
      <w:r w:rsidRPr="00EB15CB">
        <w:rPr>
          <w:rFonts w:hint="eastAsia"/>
          <w:color w:val="000000"/>
          <w:spacing w:val="8"/>
        </w:rPr>
        <w:t>原油价格在经历2018年四季度的大幅下跌后，2019年年初原油止跌企稳并振荡上行，由于受全球经济增长放缓担忧的影响，油价上行乏力，由于受到中美贸易、美联储降息、地缘政治冲突和OPEC+减产等因素影响驱使原油价格区间震荡，截至2019年12月31日，WTI上涨15.8美元/桶至61.21美元/桶，涨幅34.79%；Brent上涨12.23美元/桶至66.03美元/桶，涨幅22.73%。</w:t>
      </w:r>
    </w:p>
    <w:p w14:paraId="5ABF93CE" w14:textId="069B2FAE"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1FD76B0C" wp14:editId="33094B51">
            <wp:extent cx="5274310" cy="279273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92730"/>
                    </a:xfrm>
                    <a:prstGeom prst="rect">
                      <a:avLst/>
                    </a:prstGeom>
                  </pic:spPr>
                </pic:pic>
              </a:graphicData>
            </a:graphic>
          </wp:inline>
        </w:drawing>
      </w:r>
    </w:p>
    <w:p w14:paraId="0A80E41B" w14:textId="3A64FBAD" w:rsidR="00EB15CB" w:rsidRPr="00EB15CB" w:rsidRDefault="00EB15CB" w:rsidP="00EB15CB">
      <w:pPr>
        <w:widowControl/>
        <w:shd w:val="clear" w:color="auto" w:fill="FFFFFF"/>
        <w:snapToGrid w:val="0"/>
        <w:spacing w:after="210" w:line="360" w:lineRule="auto"/>
        <w:jc w:val="left"/>
        <w:outlineLvl w:val="1"/>
        <w:rPr>
          <w:rFonts w:ascii="宋体" w:eastAsia="宋体" w:hAnsi="宋体"/>
          <w:color w:val="000000"/>
          <w:spacing w:val="8"/>
          <w:sz w:val="24"/>
          <w:szCs w:val="24"/>
          <w:shd w:val="clear" w:color="auto" w:fill="FFFFFF"/>
        </w:rPr>
      </w:pPr>
      <w:r w:rsidRPr="00EB15CB">
        <w:rPr>
          <w:rFonts w:ascii="宋体" w:eastAsia="宋体" w:hAnsi="宋体" w:hint="eastAsia"/>
          <w:color w:val="000000"/>
          <w:spacing w:val="8"/>
          <w:sz w:val="24"/>
          <w:szCs w:val="24"/>
          <w:shd w:val="clear" w:color="auto" w:fill="FFFFFF"/>
        </w:rPr>
        <w:lastRenderedPageBreak/>
        <w:t>2019年年中以来，油轮原油运价指数（BDTI）整体走高。受海湾地区地缘政治形势危险上升及沙特石油设备遇袭等因素的影响，9月开始，BDTI指数高速上涨，10月14日创下年度新高1958点。然后迅速回落。</w:t>
      </w:r>
    </w:p>
    <w:p w14:paraId="4F17DD7C" w14:textId="09D351E1"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34AA3CEF" wp14:editId="03A91D3D">
            <wp:extent cx="5274310" cy="27305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730500"/>
                    </a:xfrm>
                    <a:prstGeom prst="rect">
                      <a:avLst/>
                    </a:prstGeom>
                  </pic:spPr>
                </pic:pic>
              </a:graphicData>
            </a:graphic>
          </wp:inline>
        </w:drawing>
      </w:r>
    </w:p>
    <w:p w14:paraId="0AF8D85E" w14:textId="79734E7E"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6C6C0227" wp14:editId="4659ADF4">
            <wp:extent cx="5274310" cy="3483610"/>
            <wp:effectExtent l="0"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83610"/>
                    </a:xfrm>
                    <a:prstGeom prst="rect">
                      <a:avLst/>
                    </a:prstGeom>
                  </pic:spPr>
                </pic:pic>
              </a:graphicData>
            </a:graphic>
          </wp:inline>
        </w:drawing>
      </w:r>
    </w:p>
    <w:p w14:paraId="57972458" w14:textId="3682FA1D"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lastRenderedPageBreak/>
        <w:drawing>
          <wp:inline distT="0" distB="0" distL="0" distR="0" wp14:anchorId="617D8644" wp14:editId="709F9E26">
            <wp:extent cx="5274310" cy="325628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256280"/>
                    </a:xfrm>
                    <a:prstGeom prst="rect">
                      <a:avLst/>
                    </a:prstGeom>
                  </pic:spPr>
                </pic:pic>
              </a:graphicData>
            </a:graphic>
          </wp:inline>
        </w:drawing>
      </w:r>
    </w:p>
    <w:p w14:paraId="17B6600C" w14:textId="77777777" w:rsidR="00EB15CB" w:rsidRPr="00EB15CB" w:rsidRDefault="00EB15CB" w:rsidP="00EB15CB">
      <w:pPr>
        <w:pStyle w:val="a3"/>
        <w:numPr>
          <w:ilvl w:val="0"/>
          <w:numId w:val="2"/>
        </w:numPr>
        <w:shd w:val="clear" w:color="auto" w:fill="FFFFFF"/>
        <w:snapToGrid w:val="0"/>
        <w:spacing w:before="0" w:beforeAutospacing="0" w:after="0" w:afterAutospacing="0" w:line="360" w:lineRule="auto"/>
        <w:ind w:left="0"/>
        <w:jc w:val="both"/>
        <w:rPr>
          <w:color w:val="333333"/>
          <w:spacing w:val="8"/>
        </w:rPr>
      </w:pPr>
      <w:r w:rsidRPr="00EB15CB">
        <w:rPr>
          <w:rFonts w:hint="eastAsia"/>
          <w:color w:val="000000"/>
          <w:spacing w:val="8"/>
        </w:rPr>
        <w:t>2019年中国原油产量1.91亿吨，原油全年进口量据最新海关统计已达到5.06亿吨，为全球第一大原油进口国。原油对外依赖度继续攀升至高达72%。此外，中国原油进口继续向着多元化发展的方向推进。尽管受制裁影响，从伊朗和委内瑞拉进口的原油有所下滑。但是从沙特和巴西的原油进口量都有提升，尤其是从巴西进口比率有加大幅度的增长。（*中国香港和中国台湾未在统计之列）</w:t>
      </w:r>
    </w:p>
    <w:p w14:paraId="59C1EA00" w14:textId="06AF2CC2"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180834BF" wp14:editId="3731A5B7">
            <wp:extent cx="5274310" cy="22542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54250"/>
                    </a:xfrm>
                    <a:prstGeom prst="rect">
                      <a:avLst/>
                    </a:prstGeom>
                  </pic:spPr>
                </pic:pic>
              </a:graphicData>
            </a:graphic>
          </wp:inline>
        </w:drawing>
      </w:r>
    </w:p>
    <w:p w14:paraId="0954C8B3" w14:textId="2D4DFF63" w:rsidR="00EB15CB" w:rsidRPr="00EB15CB" w:rsidRDefault="00EB15CB" w:rsidP="00EB15CB">
      <w:pPr>
        <w:widowControl/>
        <w:shd w:val="clear" w:color="auto" w:fill="FFFFFF"/>
        <w:snapToGrid w:val="0"/>
        <w:spacing w:after="210" w:line="360" w:lineRule="auto"/>
        <w:jc w:val="left"/>
        <w:outlineLvl w:val="1"/>
        <w:rPr>
          <w:rFonts w:ascii="宋体" w:eastAsia="宋体" w:hAnsi="宋体"/>
          <w:color w:val="000000"/>
          <w:spacing w:val="8"/>
          <w:sz w:val="24"/>
          <w:szCs w:val="24"/>
          <w:shd w:val="clear" w:color="auto" w:fill="FFFFFF"/>
        </w:rPr>
      </w:pPr>
      <w:r w:rsidRPr="00EB15CB">
        <w:rPr>
          <w:rFonts w:ascii="宋体" w:eastAsia="宋体" w:hAnsi="宋体" w:hint="eastAsia"/>
          <w:color w:val="000000"/>
          <w:spacing w:val="8"/>
          <w:sz w:val="24"/>
          <w:szCs w:val="24"/>
          <w:shd w:val="clear" w:color="auto" w:fill="FFFFFF"/>
        </w:rPr>
        <w:t>按照海关统计的数据，2019年我国原油进口量为5.06亿吨，同比增幅为9.5%，“油化52hz”统计的原油到港量为4.37亿吨，加上中哈管线进口约1000万吨，中俄管线进口约3000万吨，中缅管线进口约1000万吨，统计总计进口量为4.87万吨，略低于海关公布数据（相差约4%）。</w:t>
      </w:r>
    </w:p>
    <w:p w14:paraId="244B4877" w14:textId="71106591"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lastRenderedPageBreak/>
        <w:drawing>
          <wp:inline distT="0" distB="0" distL="0" distR="0" wp14:anchorId="54D37D67" wp14:editId="276F39FD">
            <wp:extent cx="5274310" cy="30137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13710"/>
                    </a:xfrm>
                    <a:prstGeom prst="rect">
                      <a:avLst/>
                    </a:prstGeom>
                  </pic:spPr>
                </pic:pic>
              </a:graphicData>
            </a:graphic>
          </wp:inline>
        </w:drawing>
      </w:r>
    </w:p>
    <w:p w14:paraId="1D155088" w14:textId="0ACCA2C6" w:rsidR="00EB15CB" w:rsidRPr="00EB15CB" w:rsidRDefault="00EB15CB" w:rsidP="00EB15CB">
      <w:pPr>
        <w:widowControl/>
        <w:shd w:val="clear" w:color="auto" w:fill="FFFFFF"/>
        <w:snapToGrid w:val="0"/>
        <w:spacing w:after="210" w:line="360" w:lineRule="auto"/>
        <w:jc w:val="left"/>
        <w:outlineLvl w:val="1"/>
        <w:rPr>
          <w:rFonts w:ascii="宋体" w:eastAsia="宋体" w:hAnsi="宋体"/>
          <w:color w:val="000000"/>
          <w:spacing w:val="8"/>
          <w:sz w:val="24"/>
          <w:szCs w:val="24"/>
          <w:shd w:val="clear" w:color="auto" w:fill="FFFFFF"/>
        </w:rPr>
      </w:pPr>
      <w:r w:rsidRPr="00EB15CB">
        <w:rPr>
          <w:rFonts w:ascii="宋体" w:eastAsia="宋体" w:hAnsi="宋体"/>
          <w:noProof/>
          <w:sz w:val="24"/>
          <w:szCs w:val="24"/>
        </w:rPr>
        <w:drawing>
          <wp:inline distT="0" distB="0" distL="0" distR="0" wp14:anchorId="434C693D" wp14:editId="2BEE7BD4">
            <wp:extent cx="5274310" cy="4907280"/>
            <wp:effectExtent l="0" t="0" r="254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907280"/>
                    </a:xfrm>
                    <a:prstGeom prst="rect">
                      <a:avLst/>
                    </a:prstGeom>
                    <a:noFill/>
                    <a:ln>
                      <a:noFill/>
                    </a:ln>
                  </pic:spPr>
                </pic:pic>
              </a:graphicData>
            </a:graphic>
          </wp:inline>
        </w:drawing>
      </w:r>
      <w:r w:rsidRPr="00EB15CB">
        <w:rPr>
          <w:rFonts w:ascii="宋体" w:eastAsia="宋体" w:hAnsi="宋体" w:hint="eastAsia"/>
          <w:color w:val="000000"/>
          <w:spacing w:val="8"/>
          <w:sz w:val="24"/>
          <w:szCs w:val="24"/>
          <w:shd w:val="clear" w:color="auto" w:fill="FFFFFF"/>
        </w:rPr>
        <w:t>中国原油进口主要通过VLCC大型油轮运输，“油化52Hz”梳理了全国</w:t>
      </w:r>
      <w:r w:rsidRPr="00EB15CB">
        <w:rPr>
          <w:rFonts w:ascii="宋体" w:eastAsia="宋体" w:hAnsi="宋体" w:hint="eastAsia"/>
          <w:b/>
          <w:bCs/>
          <w:color w:val="C55A11"/>
          <w:spacing w:val="8"/>
          <w:sz w:val="24"/>
          <w:szCs w:val="24"/>
          <w:shd w:val="clear" w:color="auto" w:fill="FFFFFF"/>
        </w:rPr>
        <w:t>16</w:t>
      </w:r>
      <w:r w:rsidRPr="00EB15CB">
        <w:rPr>
          <w:rFonts w:ascii="宋体" w:eastAsia="宋体" w:hAnsi="宋体" w:hint="eastAsia"/>
          <w:b/>
          <w:bCs/>
          <w:color w:val="C55A11"/>
          <w:spacing w:val="8"/>
          <w:sz w:val="24"/>
          <w:szCs w:val="24"/>
          <w:shd w:val="clear" w:color="auto" w:fill="FFFFFF"/>
        </w:rPr>
        <w:lastRenderedPageBreak/>
        <w:t>个</w:t>
      </w:r>
      <w:r w:rsidRPr="00EB15CB">
        <w:rPr>
          <w:rFonts w:ascii="宋体" w:eastAsia="宋体" w:hAnsi="宋体" w:hint="eastAsia"/>
          <w:color w:val="000000"/>
          <w:spacing w:val="8"/>
          <w:sz w:val="24"/>
          <w:szCs w:val="24"/>
          <w:shd w:val="clear" w:color="auto" w:fill="FFFFFF"/>
        </w:rPr>
        <w:t>主要原油进口港区，并对各个原油泊位进行了标注和后台数据统计运算。</w:t>
      </w:r>
    </w:p>
    <w:p w14:paraId="678D4DDC" w14:textId="12EDEFBE"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0CD5E310" wp14:editId="23266498">
            <wp:extent cx="5274310" cy="19558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955800"/>
                    </a:xfrm>
                    <a:prstGeom prst="rect">
                      <a:avLst/>
                    </a:prstGeom>
                  </pic:spPr>
                </pic:pic>
              </a:graphicData>
            </a:graphic>
          </wp:inline>
        </w:drawing>
      </w:r>
    </w:p>
    <w:p w14:paraId="4D12FB4D" w14:textId="1D70C75D" w:rsidR="00EB15CB" w:rsidRPr="00EB15CB" w:rsidRDefault="00EB15CB" w:rsidP="00EB15CB">
      <w:pPr>
        <w:widowControl/>
        <w:shd w:val="clear" w:color="auto" w:fill="FFFFFF"/>
        <w:snapToGrid w:val="0"/>
        <w:spacing w:after="210" w:line="360" w:lineRule="auto"/>
        <w:jc w:val="left"/>
        <w:outlineLvl w:val="1"/>
        <w:rPr>
          <w:rFonts w:ascii="宋体" w:eastAsia="宋体" w:hAnsi="宋体"/>
          <w:color w:val="000000"/>
          <w:spacing w:val="8"/>
          <w:sz w:val="24"/>
          <w:szCs w:val="24"/>
          <w:shd w:val="clear" w:color="auto" w:fill="FFFFFF"/>
        </w:rPr>
      </w:pPr>
      <w:r w:rsidRPr="00EB15CB">
        <w:rPr>
          <w:rFonts w:ascii="宋体" w:eastAsia="宋体" w:hAnsi="宋体" w:hint="eastAsia"/>
          <w:color w:val="000000"/>
          <w:spacing w:val="8"/>
          <w:sz w:val="24"/>
          <w:szCs w:val="24"/>
          <w:shd w:val="clear" w:color="auto" w:fill="FFFFFF"/>
        </w:rPr>
        <w:t>国内进口原油港口中，青岛（含董家口）、宁波位居第一梯队，两者进口原油船货量超过1.3亿吨，约占全国原油进口到港量的的30%的。</w:t>
      </w:r>
    </w:p>
    <w:p w14:paraId="0A9CF143" w14:textId="76B390A7"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drawing>
          <wp:inline distT="0" distB="0" distL="0" distR="0" wp14:anchorId="29F88590" wp14:editId="0C0353D4">
            <wp:extent cx="5274310" cy="267970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79700"/>
                    </a:xfrm>
                    <a:prstGeom prst="rect">
                      <a:avLst/>
                    </a:prstGeom>
                  </pic:spPr>
                </pic:pic>
              </a:graphicData>
            </a:graphic>
          </wp:inline>
        </w:drawing>
      </w:r>
    </w:p>
    <w:p w14:paraId="61C1500D" w14:textId="4A538D0A"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lastRenderedPageBreak/>
        <w:drawing>
          <wp:inline distT="0" distB="0" distL="0" distR="0" wp14:anchorId="5858924F" wp14:editId="06B0DE79">
            <wp:extent cx="5274310" cy="36804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680460"/>
                    </a:xfrm>
                    <a:prstGeom prst="rect">
                      <a:avLst/>
                    </a:prstGeom>
                  </pic:spPr>
                </pic:pic>
              </a:graphicData>
            </a:graphic>
          </wp:inline>
        </w:drawing>
      </w:r>
    </w:p>
    <w:p w14:paraId="622871B4" w14:textId="77777777" w:rsidR="00EB15CB" w:rsidRPr="00EB15CB" w:rsidRDefault="00EB15CB" w:rsidP="00EB15CB">
      <w:pPr>
        <w:pStyle w:val="a3"/>
        <w:numPr>
          <w:ilvl w:val="0"/>
          <w:numId w:val="3"/>
        </w:numPr>
        <w:shd w:val="clear" w:color="auto" w:fill="FFFFFF"/>
        <w:snapToGrid w:val="0"/>
        <w:spacing w:before="0" w:beforeAutospacing="0" w:after="0" w:afterAutospacing="0" w:line="360" w:lineRule="auto"/>
        <w:ind w:left="0"/>
        <w:jc w:val="both"/>
        <w:rPr>
          <w:color w:val="333333"/>
          <w:spacing w:val="8"/>
        </w:rPr>
      </w:pPr>
      <w:r w:rsidRPr="00EB15CB">
        <w:rPr>
          <w:rFonts w:hint="eastAsia"/>
          <w:color w:val="000000"/>
          <w:spacing w:val="8"/>
        </w:rPr>
        <w:t>据统计，2019年山东原油船运进口量约为1.5亿吨占全国进口原油船运到港量的35%。</w:t>
      </w:r>
    </w:p>
    <w:p w14:paraId="449EF117" w14:textId="77777777" w:rsidR="00EB15CB" w:rsidRPr="00EB15CB" w:rsidRDefault="00EB15CB" w:rsidP="00EB15CB">
      <w:pPr>
        <w:pStyle w:val="a3"/>
        <w:numPr>
          <w:ilvl w:val="0"/>
          <w:numId w:val="3"/>
        </w:numPr>
        <w:shd w:val="clear" w:color="auto" w:fill="FFFFFF"/>
        <w:snapToGrid w:val="0"/>
        <w:spacing w:before="0" w:beforeAutospacing="0" w:after="0" w:afterAutospacing="0" w:line="360" w:lineRule="auto"/>
        <w:ind w:left="0"/>
        <w:jc w:val="both"/>
        <w:rPr>
          <w:rFonts w:hint="eastAsia"/>
          <w:color w:val="333333"/>
          <w:spacing w:val="8"/>
        </w:rPr>
      </w:pPr>
      <w:r w:rsidRPr="00EB15CB">
        <w:rPr>
          <w:rFonts w:hint="eastAsia"/>
          <w:color w:val="000000"/>
          <w:spacing w:val="8"/>
        </w:rPr>
        <w:t>山东原油进口量2019年稳中有升，主要受益于山东地炼整体开工率的提升</w:t>
      </w:r>
    </w:p>
    <w:p w14:paraId="2093CC02" w14:textId="77777777" w:rsidR="00EB15CB" w:rsidRPr="00EB15CB" w:rsidRDefault="00EB15CB" w:rsidP="00EB15CB">
      <w:pPr>
        <w:pStyle w:val="a3"/>
        <w:numPr>
          <w:ilvl w:val="0"/>
          <w:numId w:val="3"/>
        </w:numPr>
        <w:shd w:val="clear" w:color="auto" w:fill="FFFFFF"/>
        <w:snapToGrid w:val="0"/>
        <w:spacing w:before="0" w:beforeAutospacing="0" w:after="0" w:afterAutospacing="0" w:line="360" w:lineRule="auto"/>
        <w:ind w:left="0"/>
        <w:jc w:val="both"/>
        <w:rPr>
          <w:rFonts w:hint="eastAsia"/>
          <w:color w:val="333333"/>
          <w:spacing w:val="8"/>
        </w:rPr>
      </w:pPr>
      <w:r w:rsidRPr="00EB15CB">
        <w:rPr>
          <w:rFonts w:hint="eastAsia"/>
          <w:color w:val="000000"/>
          <w:spacing w:val="8"/>
        </w:rPr>
        <w:t>按山东原油进口来源地安哥拉、俄罗斯、巴西、沙特和阿曼稳居前五，占山东原油总进口量的60%以上。</w:t>
      </w:r>
    </w:p>
    <w:p w14:paraId="61063B98" w14:textId="77777777" w:rsidR="00EB15CB" w:rsidRPr="00EB15CB" w:rsidRDefault="00EB15CB" w:rsidP="00EB15CB">
      <w:pPr>
        <w:pStyle w:val="a3"/>
        <w:numPr>
          <w:ilvl w:val="0"/>
          <w:numId w:val="3"/>
        </w:numPr>
        <w:shd w:val="clear" w:color="auto" w:fill="FFFFFF"/>
        <w:snapToGrid w:val="0"/>
        <w:spacing w:before="0" w:beforeAutospacing="0" w:after="0" w:afterAutospacing="0" w:line="360" w:lineRule="auto"/>
        <w:ind w:left="0"/>
        <w:jc w:val="both"/>
        <w:rPr>
          <w:rFonts w:hint="eastAsia"/>
          <w:color w:val="333333"/>
          <w:spacing w:val="8"/>
        </w:rPr>
      </w:pPr>
      <w:r w:rsidRPr="00EB15CB">
        <w:rPr>
          <w:rFonts w:hint="eastAsia"/>
          <w:color w:val="000000"/>
          <w:spacing w:val="8"/>
        </w:rPr>
        <w:t xml:space="preserve">2019年来自巴西的原油大幅增加。（基于“油化52Hz” 的历史船舶挂靠数据，6月26日，从巴西 </w:t>
      </w:r>
      <w:proofErr w:type="spellStart"/>
      <w:r w:rsidRPr="00EB15CB">
        <w:rPr>
          <w:rFonts w:hint="eastAsia"/>
          <w:color w:val="000000"/>
          <w:spacing w:val="8"/>
        </w:rPr>
        <w:t>Gebig</w:t>
      </w:r>
      <w:proofErr w:type="spellEnd"/>
      <w:r w:rsidRPr="00EB15CB">
        <w:rPr>
          <w:rFonts w:hint="eastAsia"/>
          <w:color w:val="000000"/>
          <w:spacing w:val="8"/>
        </w:rPr>
        <w:t>港开来的“MARAN CLEO”号油轮靠泊青岛港董家口港区45万吨级原油码头。这标志青岛港与巴西国家石油公司保税现货原油库使用合作正式开启）。目前青岛港每月都有至少一艘来自巴西的原油VLCC到港。</w:t>
      </w:r>
    </w:p>
    <w:p w14:paraId="47293260" w14:textId="77777777" w:rsidR="00EB15CB" w:rsidRPr="00EB15CB" w:rsidRDefault="00EB15CB" w:rsidP="00EB15CB">
      <w:pPr>
        <w:pStyle w:val="a3"/>
        <w:numPr>
          <w:ilvl w:val="0"/>
          <w:numId w:val="3"/>
        </w:numPr>
        <w:shd w:val="clear" w:color="auto" w:fill="FFFFFF"/>
        <w:snapToGrid w:val="0"/>
        <w:spacing w:before="0" w:beforeAutospacing="0" w:after="0" w:afterAutospacing="0" w:line="360" w:lineRule="auto"/>
        <w:ind w:left="0"/>
        <w:jc w:val="both"/>
        <w:rPr>
          <w:rFonts w:hint="eastAsia"/>
          <w:color w:val="333333"/>
          <w:spacing w:val="8"/>
        </w:rPr>
      </w:pPr>
      <w:r w:rsidRPr="00EB15CB">
        <w:rPr>
          <w:rFonts w:hint="eastAsia"/>
          <w:color w:val="000000"/>
          <w:spacing w:val="8"/>
        </w:rPr>
        <w:t>来自委内瑞拉的原油大幅减少。特别是8月以后受到美国全面经济封锁的影响。（今年8月上旬美国对委制裁升级为全面经济封锁，当月中旬中国石油天然气集团随即决定停止从委内瑞拉进口原油，因此来自委内瑞拉的原油进口总量骤降。）</w:t>
      </w:r>
    </w:p>
    <w:p w14:paraId="0256A49C" w14:textId="60A85B39"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color w:val="333333"/>
          <w:spacing w:val="8"/>
          <w:kern w:val="0"/>
          <w:sz w:val="24"/>
          <w:szCs w:val="24"/>
        </w:rPr>
      </w:pPr>
      <w:r w:rsidRPr="00EB15CB">
        <w:rPr>
          <w:rFonts w:ascii="宋体" w:eastAsia="宋体" w:hAnsi="宋体"/>
          <w:noProof/>
          <w:sz w:val="24"/>
          <w:szCs w:val="24"/>
        </w:rPr>
        <w:lastRenderedPageBreak/>
        <w:drawing>
          <wp:inline distT="0" distB="0" distL="0" distR="0" wp14:anchorId="08DAA57C" wp14:editId="4E424D9D">
            <wp:extent cx="5274310" cy="3198495"/>
            <wp:effectExtent l="0" t="0" r="254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198495"/>
                    </a:xfrm>
                    <a:prstGeom prst="rect">
                      <a:avLst/>
                    </a:prstGeom>
                  </pic:spPr>
                </pic:pic>
              </a:graphicData>
            </a:graphic>
          </wp:inline>
        </w:drawing>
      </w:r>
    </w:p>
    <w:p w14:paraId="7867E945" w14:textId="77777777" w:rsidR="00EB15CB" w:rsidRPr="00EB15CB" w:rsidRDefault="00EB15CB" w:rsidP="00EB15CB">
      <w:pPr>
        <w:widowControl/>
        <w:numPr>
          <w:ilvl w:val="0"/>
          <w:numId w:val="4"/>
        </w:numPr>
        <w:shd w:val="clear" w:color="auto" w:fill="FFFFFF"/>
        <w:snapToGrid w:val="0"/>
        <w:spacing w:line="360" w:lineRule="auto"/>
        <w:ind w:left="0"/>
        <w:jc w:val="left"/>
        <w:rPr>
          <w:rFonts w:ascii="宋体" w:eastAsia="宋体" w:hAnsi="宋体" w:cs="宋体"/>
          <w:color w:val="333333"/>
          <w:spacing w:val="8"/>
          <w:kern w:val="0"/>
          <w:sz w:val="24"/>
          <w:szCs w:val="24"/>
        </w:rPr>
      </w:pPr>
      <w:r w:rsidRPr="00EB15CB">
        <w:rPr>
          <w:rFonts w:ascii="宋体" w:eastAsia="宋体" w:hAnsi="宋体" w:cs="宋体" w:hint="eastAsia"/>
          <w:color w:val="000000"/>
          <w:spacing w:val="8"/>
          <w:kern w:val="0"/>
          <w:sz w:val="24"/>
          <w:szCs w:val="24"/>
        </w:rPr>
        <w:t>从2019年中国进口原油的船型统计可以看出VLCC占据了一半以上。</w:t>
      </w:r>
    </w:p>
    <w:p w14:paraId="456D0629" w14:textId="77777777" w:rsidR="00EB15CB" w:rsidRPr="00EB15CB" w:rsidRDefault="00EB15CB" w:rsidP="00EB15CB">
      <w:pPr>
        <w:widowControl/>
        <w:numPr>
          <w:ilvl w:val="0"/>
          <w:numId w:val="4"/>
        </w:numPr>
        <w:shd w:val="clear" w:color="auto" w:fill="FFFFFF"/>
        <w:snapToGrid w:val="0"/>
        <w:spacing w:line="360" w:lineRule="auto"/>
        <w:ind w:left="0"/>
        <w:jc w:val="left"/>
        <w:rPr>
          <w:rFonts w:ascii="宋体" w:eastAsia="宋体" w:hAnsi="宋体" w:cs="宋体" w:hint="eastAsia"/>
          <w:color w:val="333333"/>
          <w:spacing w:val="8"/>
          <w:kern w:val="0"/>
          <w:sz w:val="24"/>
          <w:szCs w:val="24"/>
        </w:rPr>
      </w:pPr>
      <w:r w:rsidRPr="00EB15CB">
        <w:rPr>
          <w:rFonts w:ascii="宋体" w:eastAsia="宋体" w:hAnsi="宋体" w:cs="宋体" w:hint="eastAsia"/>
          <w:color w:val="000000"/>
          <w:spacing w:val="8"/>
          <w:kern w:val="0"/>
          <w:sz w:val="24"/>
          <w:szCs w:val="24"/>
        </w:rPr>
        <w:t>其中来自俄罗斯的科兹米诺，全部为阿芙拉型。几乎全部进入了山东地区的青岛、龙口和莱州港口，此外，大连和锦州等也有小部分进口。</w:t>
      </w:r>
    </w:p>
    <w:p w14:paraId="029223BF" w14:textId="77777777" w:rsidR="00EB15CB" w:rsidRPr="00EB15CB" w:rsidRDefault="00EB15CB" w:rsidP="00EB15CB">
      <w:pPr>
        <w:widowControl/>
        <w:numPr>
          <w:ilvl w:val="0"/>
          <w:numId w:val="4"/>
        </w:numPr>
        <w:shd w:val="clear" w:color="auto" w:fill="FFFFFF"/>
        <w:snapToGrid w:val="0"/>
        <w:spacing w:line="360" w:lineRule="auto"/>
        <w:ind w:left="0"/>
        <w:jc w:val="left"/>
        <w:rPr>
          <w:rFonts w:ascii="宋体" w:eastAsia="宋体" w:hAnsi="宋体" w:cs="宋体" w:hint="eastAsia"/>
          <w:color w:val="333333"/>
          <w:spacing w:val="8"/>
          <w:kern w:val="0"/>
          <w:sz w:val="24"/>
          <w:szCs w:val="24"/>
        </w:rPr>
      </w:pPr>
      <w:r w:rsidRPr="00EB15CB">
        <w:rPr>
          <w:rFonts w:ascii="宋体" w:eastAsia="宋体" w:hAnsi="宋体" w:cs="宋体" w:hint="eastAsia"/>
          <w:color w:val="000000"/>
          <w:spacing w:val="8"/>
          <w:kern w:val="0"/>
          <w:sz w:val="24"/>
          <w:szCs w:val="24"/>
        </w:rPr>
        <w:t>来自中东地区伊拉克巴士拉、沙特和阿曼费赫勒的原油，船型基本是VLCC（比例在90%以上），很少一部分采用ULCC。中国港口接货情况，主要是青岛、宁波、舟山、泉州和日照等大型港口。</w:t>
      </w:r>
    </w:p>
    <w:p w14:paraId="3B72097D" w14:textId="77777777" w:rsidR="00EB15CB" w:rsidRPr="00EB15CB" w:rsidRDefault="00EB15CB" w:rsidP="00EB15CB">
      <w:pPr>
        <w:widowControl/>
        <w:numPr>
          <w:ilvl w:val="0"/>
          <w:numId w:val="4"/>
        </w:numPr>
        <w:shd w:val="clear" w:color="auto" w:fill="FFFFFF"/>
        <w:snapToGrid w:val="0"/>
        <w:spacing w:line="360" w:lineRule="auto"/>
        <w:ind w:left="0"/>
        <w:jc w:val="left"/>
        <w:rPr>
          <w:rFonts w:ascii="宋体" w:eastAsia="宋体" w:hAnsi="宋体" w:cs="宋体" w:hint="eastAsia"/>
          <w:color w:val="333333"/>
          <w:spacing w:val="8"/>
          <w:kern w:val="0"/>
          <w:sz w:val="24"/>
          <w:szCs w:val="24"/>
        </w:rPr>
      </w:pPr>
      <w:r w:rsidRPr="00EB15CB">
        <w:rPr>
          <w:rFonts w:ascii="宋体" w:eastAsia="宋体" w:hAnsi="宋体" w:cs="宋体" w:hint="eastAsia"/>
          <w:color w:val="000000"/>
          <w:spacing w:val="8"/>
          <w:kern w:val="0"/>
          <w:sz w:val="24"/>
          <w:szCs w:val="24"/>
        </w:rPr>
        <w:t>新加坡为原油的中转港，来自新加坡的船型有一半是VLCC，主要进入山东，大连、天津、宁波和舟山。 </w:t>
      </w:r>
      <w:r w:rsidRPr="00EB15CB">
        <w:rPr>
          <w:rFonts w:ascii="宋体" w:eastAsia="宋体" w:hAnsi="宋体" w:cs="宋体" w:hint="eastAsia"/>
          <w:color w:val="000000"/>
          <w:spacing w:val="8"/>
          <w:kern w:val="0"/>
          <w:sz w:val="24"/>
          <w:szCs w:val="24"/>
        </w:rPr>
        <w:br/>
        <w:t>从原油海运航线上来看，主要有4条：中东航线，拉美航线，非洲航线，东南亚航线。其中进口总量70%要经过马六甲海峡。</w:t>
      </w:r>
    </w:p>
    <w:p w14:paraId="35C075B8" w14:textId="20E2D59C" w:rsidR="00EB15CB" w:rsidRPr="00EB15CB" w:rsidRDefault="00EB15CB" w:rsidP="00EB15CB">
      <w:pPr>
        <w:widowControl/>
        <w:shd w:val="clear" w:color="auto" w:fill="FFFFFF"/>
        <w:snapToGrid w:val="0"/>
        <w:spacing w:after="210" w:line="360" w:lineRule="auto"/>
        <w:jc w:val="left"/>
        <w:outlineLvl w:val="1"/>
        <w:rPr>
          <w:rFonts w:ascii="宋体" w:eastAsia="宋体" w:hAnsi="宋体" w:cs="宋体" w:hint="eastAsia"/>
          <w:color w:val="333333"/>
          <w:spacing w:val="8"/>
          <w:kern w:val="0"/>
          <w:sz w:val="24"/>
          <w:szCs w:val="24"/>
        </w:rPr>
      </w:pPr>
      <w:r w:rsidRPr="00EB15CB">
        <w:rPr>
          <w:rFonts w:ascii="宋体" w:eastAsia="宋体" w:hAnsi="宋体" w:cs="宋体"/>
          <w:kern w:val="0"/>
          <w:sz w:val="24"/>
          <w:szCs w:val="24"/>
        </w:rPr>
        <w:br/>
        <w:t>来源：油化52hz</w:t>
      </w:r>
    </w:p>
    <w:p w14:paraId="512AB74A" w14:textId="77777777" w:rsidR="003A5F9F" w:rsidRPr="00EB15CB" w:rsidRDefault="003A5F9F" w:rsidP="00EB15CB">
      <w:pPr>
        <w:snapToGrid w:val="0"/>
        <w:spacing w:line="360" w:lineRule="auto"/>
        <w:rPr>
          <w:rFonts w:ascii="宋体" w:eastAsia="宋体" w:hAnsi="宋体"/>
          <w:sz w:val="24"/>
          <w:szCs w:val="24"/>
        </w:rPr>
      </w:pPr>
    </w:p>
    <w:sectPr w:rsidR="003A5F9F" w:rsidRPr="00EB15C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83634"/>
    <w:multiLevelType w:val="multilevel"/>
    <w:tmpl w:val="52DC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77746"/>
    <w:multiLevelType w:val="multilevel"/>
    <w:tmpl w:val="0594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955927"/>
    <w:multiLevelType w:val="multilevel"/>
    <w:tmpl w:val="FF84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8D4ABD"/>
    <w:multiLevelType w:val="multilevel"/>
    <w:tmpl w:val="CC6E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0B3"/>
    <w:rsid w:val="003A5F9F"/>
    <w:rsid w:val="00C550B3"/>
    <w:rsid w:val="00EB15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1A705"/>
  <w15:chartTrackingRefBased/>
  <w15:docId w15:val="{8D5045EA-FB98-470A-B203-60B34F676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EB15CB"/>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EB15CB"/>
    <w:rPr>
      <w:rFonts w:ascii="宋体" w:eastAsia="宋体" w:hAnsi="宋体" w:cs="宋体"/>
      <w:b/>
      <w:bCs/>
      <w:kern w:val="0"/>
      <w:sz w:val="36"/>
      <w:szCs w:val="36"/>
    </w:rPr>
  </w:style>
  <w:style w:type="paragraph" w:styleId="a3">
    <w:name w:val="Normal (Web)"/>
    <w:basedOn w:val="a"/>
    <w:uiPriority w:val="99"/>
    <w:semiHidden/>
    <w:unhideWhenUsed/>
    <w:rsid w:val="00EB15C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61958">
      <w:bodyDiv w:val="1"/>
      <w:marLeft w:val="0"/>
      <w:marRight w:val="0"/>
      <w:marTop w:val="0"/>
      <w:marBottom w:val="0"/>
      <w:divBdr>
        <w:top w:val="none" w:sz="0" w:space="0" w:color="auto"/>
        <w:left w:val="none" w:sz="0" w:space="0" w:color="auto"/>
        <w:bottom w:val="none" w:sz="0" w:space="0" w:color="auto"/>
        <w:right w:val="none" w:sz="0" w:space="0" w:color="auto"/>
      </w:divBdr>
    </w:div>
    <w:div w:id="887106461">
      <w:bodyDiv w:val="1"/>
      <w:marLeft w:val="0"/>
      <w:marRight w:val="0"/>
      <w:marTop w:val="0"/>
      <w:marBottom w:val="0"/>
      <w:divBdr>
        <w:top w:val="none" w:sz="0" w:space="0" w:color="auto"/>
        <w:left w:val="none" w:sz="0" w:space="0" w:color="auto"/>
        <w:bottom w:val="none" w:sz="0" w:space="0" w:color="auto"/>
        <w:right w:val="none" w:sz="0" w:space="0" w:color="auto"/>
      </w:divBdr>
    </w:div>
    <w:div w:id="909191707">
      <w:bodyDiv w:val="1"/>
      <w:marLeft w:val="0"/>
      <w:marRight w:val="0"/>
      <w:marTop w:val="0"/>
      <w:marBottom w:val="0"/>
      <w:divBdr>
        <w:top w:val="none" w:sz="0" w:space="0" w:color="auto"/>
        <w:left w:val="none" w:sz="0" w:space="0" w:color="auto"/>
        <w:bottom w:val="none" w:sz="0" w:space="0" w:color="auto"/>
        <w:right w:val="none" w:sz="0" w:space="0" w:color="auto"/>
      </w:divBdr>
    </w:div>
    <w:div w:id="1610431067">
      <w:bodyDiv w:val="1"/>
      <w:marLeft w:val="0"/>
      <w:marRight w:val="0"/>
      <w:marTop w:val="0"/>
      <w:marBottom w:val="0"/>
      <w:divBdr>
        <w:top w:val="none" w:sz="0" w:space="0" w:color="auto"/>
        <w:left w:val="none" w:sz="0" w:space="0" w:color="auto"/>
        <w:bottom w:val="none" w:sz="0" w:space="0" w:color="auto"/>
        <w:right w:val="none" w:sz="0" w:space="0" w:color="auto"/>
      </w:divBdr>
    </w:div>
    <w:div w:id="195994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1353</Characters>
  <Application>Microsoft Office Word</Application>
  <DocSecurity>0</DocSecurity>
  <Lines>11</Lines>
  <Paragraphs>3</Paragraphs>
  <ScaleCrop>false</ScaleCrop>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2020-02-13T15:16:00Z</dcterms:created>
  <dcterms:modified xsi:type="dcterms:W3CDTF">2020-02-13T15:22:00Z</dcterms:modified>
</cp:coreProperties>
</file>