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7788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/>
          <w:sz w:val="44"/>
          <w:szCs w:val="44"/>
        </w:rPr>
      </w:pPr>
      <w:r w:rsidRPr="00DD241B">
        <w:rPr>
          <w:rFonts w:ascii="宋体" w:eastAsia="宋体" w:hAnsi="宋体" w:hint="eastAsia"/>
          <w:sz w:val="44"/>
          <w:szCs w:val="44"/>
        </w:rPr>
        <w:t>【石油观察家】刘满平：依托贸易体量提升我国天然气定价话语权</w:t>
      </w:r>
    </w:p>
    <w:p w14:paraId="6A19DFE9" w14:textId="734C4742" w:rsidR="007E049B" w:rsidRPr="00DD241B" w:rsidRDefault="00DD241B" w:rsidP="00DD241B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 w:rsidRPr="00DD241B">
        <w:rPr>
          <w:rFonts w:ascii="宋体" w:eastAsia="宋体" w:hAnsi="宋体" w:hint="eastAsia"/>
          <w:sz w:val="24"/>
          <w:szCs w:val="24"/>
        </w:rPr>
        <w:t>相对于北美和欧洲市场，亚洲市场的国际液化天然气价格水平总体偏高，“亚洲溢价”不仅给相关国家造成国民收入损失，还带来“成本推动型”通货膨胀以及产业竞争力削弱等诸多问题。上月稍早时候在上海举行的第十九届国际液化天然气大会上，诸多市场人士认为，当前全球的国际液化天然气缺乏一个独立价格，“亚洲溢价”非常突出，行业发展面临挑战。</w:t>
      </w:r>
    </w:p>
    <w:bookmarkEnd w:id="0"/>
    <w:p w14:paraId="359871C9" w14:textId="77777777" w:rsidR="00DD241B" w:rsidRDefault="00DD241B" w:rsidP="00DD241B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09F205D" w14:textId="2990DDC4" w:rsidR="00DD241B" w:rsidRPr="00DD241B" w:rsidRDefault="00DD241B" w:rsidP="00DD241B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影响亚洲天然气（主要是LNG）价格形成的主要因素，涉及能源安全、地理、政治、LNG贸易和定价方式、供应成本等多个方面，这些因素彼此之间相互交织。今天，我国已成全球第一大天然气进口国，对外依存度超过45%，受“亚洲溢价”的影响更为巨大和深远。因此，非得采取措施积极应对不可。</w:t>
      </w:r>
    </w:p>
    <w:p w14:paraId="63A9643A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 </w:t>
      </w:r>
    </w:p>
    <w:p w14:paraId="7476FA1B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 xml:space="preserve">　　全球天然气不是一个统一的市场，区域分割特点比较明显，北美、欧洲和亚洲三大区域市供需形势有所差异。自页岩气革命以来，北美市场天然气生产能力大幅提升，美国本地天然气价格下降较快，欧洲市场由于经济增长整体较慢，过去10年天然气消费需求处于缓慢增长态势，亚洲市场消费增速最为强劲，去年LNG进口保持两位数以上增长，占比全球需求的70%。我国已成为推动全球LNG消费增长的主要推动力。</w:t>
      </w:r>
    </w:p>
    <w:p w14:paraId="1365D360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 </w:t>
      </w:r>
    </w:p>
    <w:p w14:paraId="446ABD33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 xml:space="preserve">　　由于美国、加拿大天然气生产能力大幅提高，供应充足，天然气价格水平处于全球市场中最低水平。欧洲市场在2011年以前长期采用油气价格联动的定价模式，2011年后逐步转为市场化的“气对气”模式，目前超过 50%的天然气供应通过现货交易，部分地区则达到了70%。而在亚洲市场，天然气生产商、销售商及管道气供应商相对有限，主要采用与原油进口平均价格挂钩的方式，这种油气联动的定价机制使该地区LNG价格成为全球最高的价格。</w:t>
      </w:r>
    </w:p>
    <w:p w14:paraId="4DE937A0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 </w:t>
      </w:r>
    </w:p>
    <w:p w14:paraId="0707D6C3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 xml:space="preserve">　　出于对能源供应安全的担心，亚洲地区天然气进口国愿意支付一定的额外价</w:t>
      </w:r>
      <w:r w:rsidRPr="00DD241B">
        <w:rPr>
          <w:rFonts w:ascii="宋体" w:eastAsia="宋体" w:hAnsi="宋体" w:hint="eastAsia"/>
          <w:sz w:val="24"/>
          <w:szCs w:val="24"/>
        </w:rPr>
        <w:lastRenderedPageBreak/>
        <w:t>格来保证天然气的供应安全，这超过的部分就形成了“能源安全溢价”。为此，亚洲地区天然气进口国在与上游资源方签署贸易合同时，一般以包含“目的地限制”和“禁止转售”等限制条款在内的长期合同为主，现货交易相对有限。两款限制条款中，“目的地限制”规定了LNG买家必须自行消纳不得转售，“禁止转售”忽视了买家的需求弹性，无论需求多寡均不得调整。这种不灵活的贸易模式很容易让LNG出口国在需求价格弹性小的亚洲市场实行相对高价，从而实现垄断利润。</w:t>
      </w:r>
    </w:p>
    <w:p w14:paraId="52C69DF4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 </w:t>
      </w:r>
    </w:p>
    <w:p w14:paraId="28A66C70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 xml:space="preserve">　　考虑到贸易限制、液化及运输成本等因素，“亚洲溢价”问题短期内难以消除，其溢价程度主要取决于全球LNG市场的供需形势。自2014年以来，国际LNG市场从卖方市场逐步转变为买方市场，市场供需整体宽松，现货和短期合同贸易量比重不断增大。我国应利用好这个机遇，多措并举，有效消除“亚洲溢价”带来的影响。</w:t>
      </w:r>
    </w:p>
    <w:p w14:paraId="139AD384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 </w:t>
      </w:r>
    </w:p>
    <w:p w14:paraId="35B125BA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 xml:space="preserve">　　目前国产气与进口气相比仍有较大的成本优势，因此，应立足国内，加大国内资源的勘探开发力度，确保国内天然气供给的主导地位，这不仅能提高天然气供应安全保障程度，还有利于解决“亚洲溢价”问题。其次，还要利用好国外资源市场，鼓励和扶持国内企业到海外去参与天然气上游勘探和开发，充分利用国外油气资源，建立长期稳定的海外天然气供应基地。</w:t>
      </w:r>
    </w:p>
    <w:p w14:paraId="680121F1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 </w:t>
      </w:r>
    </w:p>
    <w:p w14:paraId="0E7FFE6F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 xml:space="preserve">　　抓住当下全球LNG买方市场的机遇，尽可能从多个国家、多个渠道、多个项目，采用多种方式进口天然气，降低对单一地区LNG的依赖度。积极参与出口国天然气勘探开发项目、LNG液化项目的投资，依托上中下游一体化，在下游天然气溢价中实现风险对冲。此外，积极探索和尝试新的LNG定价和贸易方式。例如，推进现有LNG合同的优化，包括调整定价方式、明确价格复议机制和放宽目的地限制等。对于新签的LNG合同，应采取“长贸合同保基础、现货和短贸合同保稳定”的思路。</w:t>
      </w:r>
    </w:p>
    <w:p w14:paraId="5F50A0AB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 </w:t>
      </w:r>
    </w:p>
    <w:p w14:paraId="3330B0BD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 xml:space="preserve">　　目前我国天然气市场参与主体还不多，尚未建立充分的天然气市场机制，这制约了市场的发展和定价权的提升。为此，笔者以为，应按油气体制改革总体方</w:t>
      </w:r>
      <w:r w:rsidRPr="00DD241B">
        <w:rPr>
          <w:rFonts w:ascii="宋体" w:eastAsia="宋体" w:hAnsi="宋体" w:hint="eastAsia"/>
          <w:sz w:val="24"/>
          <w:szCs w:val="24"/>
        </w:rPr>
        <w:lastRenderedPageBreak/>
        <w:t>案的部署，从上中下游推动天然气全产业链市场化改革，培育多元化的市场竞争主体。进一步推进天然气价格市场化，建立科学合理的天然气价格形成机制。加快天然气交易中心建设，推进天然气现货和期货市场体系建设，实现天然气价格发现，避免价格扭曲。我国应充分发挥天然气贸易体量巨大的优势，依托与中东、中亚、俄罗斯和非洲的天然气贸易合作，加快推进人民币计价和结算功能，建立人民币结算的天然气价格体系，加强多方战略合作，争取主导亚太地区天然气贸易规则，提升我国在天然气定价方面的话语权。</w:t>
      </w:r>
    </w:p>
    <w:p w14:paraId="6DF91CB9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 </w:t>
      </w:r>
    </w:p>
    <w:p w14:paraId="08CFCBCA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 xml:space="preserve">　　在地区能源互惠合作，特别是联合议价机制、地区储备体系建设、地区交易中心建设等方面，中、日、韩都存在进一步加强合作的共同需求。据此，应积极推动中、日、韩等国天然气生产、输配、消费之间的互联互通，基础设施及信息共享，建立油气进口协调与沟通机制，采取联合采购的方式，推动建立联合议价机制，避免多头竞价，推动建立联合议价机制。</w:t>
      </w:r>
    </w:p>
    <w:p w14:paraId="26C9AB1F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1B69A95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D241B">
        <w:rPr>
          <w:rFonts w:ascii="宋体" w:eastAsia="宋体" w:hAnsi="宋体" w:hint="eastAsia"/>
          <w:sz w:val="24"/>
          <w:szCs w:val="24"/>
        </w:rPr>
        <w:t>（来源：公众号燃气学堂 上海证券报）</w:t>
      </w:r>
    </w:p>
    <w:p w14:paraId="6FCE819F" w14:textId="77777777" w:rsidR="00DD241B" w:rsidRPr="00DD241B" w:rsidRDefault="00DD241B" w:rsidP="00DD241B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DD241B" w:rsidRPr="00DD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3"/>
    <w:rsid w:val="007E049B"/>
    <w:rsid w:val="00AE5D13"/>
    <w:rsid w:val="00D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6711"/>
  <w15:chartTrackingRefBased/>
  <w15:docId w15:val="{B715B918-043A-4427-9A7A-E8E6CBE5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D241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D241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D2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2</cp:revision>
  <dcterms:created xsi:type="dcterms:W3CDTF">2020-02-18T08:28:00Z</dcterms:created>
  <dcterms:modified xsi:type="dcterms:W3CDTF">2020-02-18T08:30:00Z</dcterms:modified>
</cp:coreProperties>
</file>